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28. augusta noteikumos Nr. 555 "Veselības aprūpes pakalpojumu organizēšanas un samaksas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28. augusta noteikumos Nr. 555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Veselības ministrijas izstrādātajiem un izsludinātajiem grozījumiem Ministru Kabineta noteikumiem Nr. 555 un iebilst pret projekta 1.8. priekšlikumu, esošos noteikumus papildināt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 Lai nodrošinātu efektīvu resursu izmantošanu un veselības aprūpes pakalpojumu pieejamību, ņemot vērā slimnīcu tīkla reformas plānošanas un ieviešanas periodā izvirzītos mērķus, dienestam ir tiesības 2027. un 2028. gadā, pamatojoties uz ārstniecības iestādes rakstveida iesniegumu, stacionārās veselības aprūpes pakalpojumu samaksai paredzētos finanšu līdzekļus novirzīt ambulatorās veselības aprūpes pakalpojumu samaksai, ja ārstniecības iestāde sniedz gan ambulatoros, gan stacionārās veselības aprūpes pakalpojumus, neievērojot šo noteikumu 12. un 14. pielikumā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minētais priekšlikums vērtējams gan no tā ietekmes uz konkurenci to tirgus dalībnieku vidū, kuriem ir noslēgti līgumi ar Nacionālo veselības dienestu (turpmāk – NVD) par valsts apmaksāto ambulatoro pakalpojumu sniegšanu, gan no tā ietekmes uz ambulatoro pakalpojumu pieejamību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pašlaik NVD organizē valsts apmaksāto ambulatoro pakalpojumu iepirkumu saskaņā ar MK noteikumiem Nr. 555, nodrošinot vienlīdzīgas iespējas gan publiskajām, gan privātajām ārstniecības iestādēm, kas atbilst noteiktajām prasībām. Savukārt piedāvātie grozījumi faktiski maina līdzšinējos nosacījumus, paredzot iespēju finansējumu no stacionārajiem pakalpojumiem novirzīt ambulatorajiem pakalpojumiem tajā pašā ārstniecības iestādē, neievērojot vispārējo atlases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šāda pieeja rada nevienlīdzīgus konkurences apstākļus un piešķir nesamērīgas un nepamatotas priekšrocības konkrētām ārstniecības iestādēm. Šādas rīcības rezultātā varētu tikt samazināts privāto ārstniecības iestāžu sniegto valsts apmaksāto ambulatoro pakalpojumu apjoms, kas savukārt var veicināt situāciju, kurā privātās ārstniecības iestādes tiek izspiestas no tirgus. Ņemot vērā, ka privātās ārstniecības iestādes darbojas arī reģionos, kur nav stacionāru, šāda pieeja ilgtermiņā var samazināt valsts apmaksāto ambulatoro pakalpojumu pieejamību reģionos un padarīt to vēl vairāk atkarīgu no pacienta dzīvesvietas.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Neraugoties uz to, ka privātās ārstniecības iestādes, paļaujoties uz tiesisko paļāvības principu, ir veikušas ievērojamas investīcijas infrastruktūrā, personālā un pakalpojumu attīstībā, piedāvātā politika rada risku, ka tās var tikt izspiestas no valsts apmaksāto pakalpojumu tirgus. NVD bez publiskas atlases procedūras piešķirot finansējumu ārstniecības iestādei, kura iepriekš attiecīgos ambulatoros pakalpojumus nav sniegusi vai sniegusi minimālā apjomā, tiek tieši apdraudēta līgumsaistību izpilde ārstniecības iestādēm, kuras tiesības sniegt šos pakalpojumus ieguvušas publiskas un caurskatāmas atlases rezultātā. Šādas prakses rezultātā piešķirto kvotu pilnvērtīga izpilde var kļūt neiespējama, kas savukārt nākotnē var kalpot par pamatu finansējuma samazināšanai šo ārstniecības iestāžu nepietiekamas izpildes dēļ, lai gan šādas sekas būs radījusi pati valsts īstenotā politika.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LTRK uzskata, ka piedāvātais regulējums rada būtiskus riskus konkurences neitralitātes principa ievērošanai, godīgai konkurencei un valsts apmaksāto ambulatoro un stacionāro pakalpojumu pieejamībai. Tādēļ LTRK neatbalsta piedāvāto regulējumu un aicina saglabāt vienotus, caurskatāmus un visiem tirgus dalībniekiem vienlīdzīgus valsts apmaksāto ambulatoro pakalpojumu plānošanas un finansēšanas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veicinātu vienotu izpratni par identificētajiem riskiem un iespējamiem risinājumiem, LTRK aicina Veselības ministriju organizēt diskusiju iesaistīto nozaru pārstāvju starpā.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Žaunerčika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06.07.2026. 15.59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06.07.2026. 15.59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Atzinumi_26-TA-1067.docx</dc:title>
</cp:coreProperties>
</file>

<file path=docProps/custom.xml><?xml version="1.0" encoding="utf-8"?>
<Properties xmlns="http://schemas.openxmlformats.org/officeDocument/2006/custom-properties" xmlns:vt="http://schemas.openxmlformats.org/officeDocument/2006/docPropsVTypes"/>
</file>