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22-TA-3163: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Valsts atbalsta piešķiršanas kārtība vaislas lauksaimniecības dzīvnieku ierakstīšanai ciltsgrāmatā un ciltsreģistrā un vietējo apdraudēto šķirņu saglabāšanai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22-TA-3163</w:t>
    </w:r>
    <w:r>
      <w:br/>
    </w:r>
    <w:r w:rsidR="00000000" w:rsidRPr="00000000" w:rsidDel="00000000">
      <w:rPr>
        <w:rtl w:val="0"/>
      </w:rPr>
      <w:t xml:space="preserve">Izdrukāts 10.03.2023. 16.28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22-TA-3163</w:t>
    </w:r>
    <w:r>
      <w:br/>
    </w:r>
    <w:r w:rsidR="00000000" w:rsidRPr="00000000" w:rsidDel="00000000">
      <w:rPr>
        <w:rtl w:val="0"/>
      </w:rPr>
      <w:t xml:space="preserve">Izdrukāts 10.03.2023. 16.28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Atzinumi_22-TA-3163.docx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