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22-TA-2305: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Studiju un studējošo kreditēšanas sistēmas, kas ir garantēta no valsts budžeta līdzekļiem, darbības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 zin_kreditesana_IZM 14.06.2023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informatīvā ziņojuma 9., 10., 12., 13. un 16.tabulā norādītais papildu nepieciešamais finansējums studiju un studējošo kreditēšanas sistēmas attīstībai neatbilst informatīvā ziņojuma 1. un 2.pielikumā aprēķinātajam.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informatīvā ziņojuma 9., 12. un 13.tabulā norādītā EURIBOR likme neatbilst informatīvā ziņojuma 1. un 2.pielikumā aprēķinos piemērotajai. Attiecīgi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 zin_kreditesana_IZM 14.06.2023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 Lūdzam precizēt ziņojuma 11.tabulā </w:t>
            </w:r>
            <w:r w:rsidR="00000000" w:rsidRPr="00000000" w:rsidDel="00000000">
              <w:rPr>
                <w:i w:val="1"/>
                <w:rtl w:val="0"/>
              </w:rPr>
              <w:t xml:space="preserve">Pilotu nodarbinātības nodokļu nomaksa</w:t>
            </w:r>
            <w:r w:rsidR="00000000" w:rsidRPr="00000000" w:rsidDel="00000000">
              <w:rPr>
                <w:rtl w:val="0"/>
              </w:rPr>
              <w:t xml:space="preserve"> norādīto nodokļu aprēķinu. Šobrīd precizējumi nav veikti.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nepieciešamo finansējumu studiju un studējošo kreditēšanas sistēmas attīstībai ir skatāms Ministru kabinetā likumprojekta "Par valsts budžetu 2024. gadam un budžeta ietvaru  2024., 2025. un 2026. gadam" sagatavošanas un izskatīšanas procesā kopā ar visu ministriju un centrālo valsts iestāžu iesniegtajiem prioritāro pasākumu pieteikumiem, ņemot vērā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2023. gada 17. marta rīkojuma Nr.130 “Par likumprojekta "Par valsts budžetu 2024. gadam un budžeta ietvaru 2024., 2025. un 2026. gadam" sagatavošanas grafiku” pielikuma 5.punktu, priekšlikumus par prioritārajiem pasākumiem un to īstenošanai nepieciešamo finansējumu, ministrijas Finanšu ministrijā un Valsts kancelejā iesniedz līdz 2023. gada 30. jūnijam. Vienlaikus 2023. gada 22. maijā izglītības un zinātnes ministrei tika nosūtīta finanšu ministra vēstule (vēstules Nr. 3.2-26/22-2 /1629), kurā, tai skaitā tika norādīts, ka Latvijas Stabilitātes programmā 2023. – 2026. gadam identificētā fiskālā telpa 2024. – 2026. gadā ir ierobežota (2024. gadam 17,1 milj. euro, 2025. gadam 193,8 milj. euro un 2026. gadam 42,9 milj. euro) un, ņemot vērā nepieciešamību nodrošināt papildu finansējumu veselības nozarei, aicināts rūpīgi vērtēt prioritāro pasākumu pieteikumus turpmākajiem gadiem un primāri meklēt iespējas tos finansēt esošo līdzekļu ietvaros, pārskatot ministrijas izdevumus un iepriekš piešķirto finansējumu prioritārajiem pasākumiem (tajā skaitā to īstenošanas progresu). Ņemot vērā minēto, aicinām ievērot finanšu ministra vēstulē norādītos par prioritāro pasākumu pieteikumiem turpmākajiem gadiem, kā arī ievērot budžeta grafikā noteikto termiņu prioritāro pasākumu iesniegšanai.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Riekstiņš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22-TA-2305</w:t>
    </w:r>
    <w:r>
      <w:br/>
    </w:r>
    <w:r w:rsidR="00000000" w:rsidRPr="00000000" w:rsidDel="00000000">
      <w:rPr>
        <w:rtl w:val="0"/>
      </w:rPr>
      <w:t xml:space="preserve">Izdrukāts 21.06.2023.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22-TA-2305</w:t>
    </w:r>
    <w:r>
      <w:br/>
    </w:r>
    <w:r w:rsidR="00000000" w:rsidRPr="00000000" w:rsidDel="00000000">
      <w:rPr>
        <w:rtl w:val="0"/>
      </w:rPr>
      <w:t xml:space="preserve">Izdrukāts 21.06.2023.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Atzinumi_22-TA-2305.docx</dc:title>
</cp:coreProperties>
</file>

<file path=docProps/custom.xml><?xml version="1.0" encoding="utf-8"?>
<Properties xmlns="http://schemas.openxmlformats.org/officeDocument/2006/custom-properties" xmlns:vt="http://schemas.openxmlformats.org/officeDocument/2006/docPropsVTypes"/>
</file>