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Baltijas jūras un Rīgas jūras līča piekrastes aizsargjoslas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Informatīvo zīmju izgatavošanu un izvietošanu nodrošina attiecīgā pašvaldība. Izdevumus, kas saistīti ar informatīvo zīmju izgatavošanu un izvietošanu, sedz pašvaldība no sava budžeta.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Vides aizsardzības un reģionālās attīstības ministrijas precizētais Ministru kabineta noteikumu projekts “Baltijas jūras un Rīgas jūras līča piekrastes aizsargjoslas noteikšanas metodika” (turpmāk – projekts) un par to izsakām šādu priekšlikumu - Projekta 11. un 12. punkta atrašanās vietu projektā piedāvājam precizēt un mainīt šo punktu secību, lai atbilstoši pieņemtajai normatīvo aktu izstrādes praksei vispirms būtu vispārīgs regulējums (punkts) par informatīvām zīmēm, kam sekotu punkts par šo zīmju izgatavošanas finansēšanu un uzstādīšanu (vispārējā regulējuma izpildes mehānisms).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29.01.2024.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29.01.2024.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Atzinumi_22-TA-1406.docx</dc:title>
</cp:coreProperties>
</file>

<file path=docProps/custom.xml><?xml version="1.0" encoding="utf-8"?>
<Properties xmlns="http://schemas.openxmlformats.org/officeDocument/2006/custom-properties" xmlns:vt="http://schemas.openxmlformats.org/officeDocument/2006/docPropsVTypes"/>
</file>