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4.panta ceturto daļu ar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apbūves tiesīgais, ja lēmumā par neapbūvēta zemesgabala apbūves tiesības piešķiršanu šādas tiesības paredzētas un neapbūvēta zemesgabala apbūves tiesības izsoles noteikumos paredzēta kārtība, kad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tiek paredzēts, ka publiskas personas nekustamā īpašuma atsavināšanu varēs ierosināt apbūves tiesīgais, ja lēmumā par neapbūvēta zemesgabala apbūves tiesības piešķiršanu šādas tiesības paredzētas un neapbūvēta zemesgabala apbūves tiesības izsoles noteikumos paredzēta kārtība, kad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paredzot gadījumus, ka apbūves tiesīgajam ir tiesības ierosināt publiskas personas nekustamā īpašuma atsavināšanu, tiek radīta sistēma, kur apbūves tiesīgais faktiski iegūst arī nekustamo īpašumu, un publiskas personas nekustamais īpašums ir atsavināms par nosacīto cenu, nerīkojot izsoli un zemesgabalu (iespējams pat nerealizējot apbūves tiesību) pārdot par tirgus cenu citai personai. Tajā pašā laikā likumā “Par aviāciju” attiecībā uz nekustamajiem īpašumiem, kas atrodas valsts nozīmes civilās aviācijas lidlauka teritorijas (arī turpmākajai attīstībai nepieciešamās teritorijas) robežās un gadījumos, kad valsts nozīmes civilās aviācijas lidlauks pieder kapitālsabiedrībai, kurā valstij ir izšķiroša ietekme uz atsavināmo nekustamo īpašumu, attiecīgajai kapitālsabiedrībai ir pirmpirkuma tiesības. Attiecīgi nav skaidrs, vai Likumprojekta rezultātā kapitālsabiedrībai netiktu ierobežotas pirmpirkuma tiesības gadījumos, ja apbūves tiesīgais ierosinātu publiskai personai piederošā nekustamā īpašuma atsavināšanu valsts nozīmes civilās aviācijas lidlauka teritorijā (arī turpmākajai attīstībai nepieciešamā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liecina, ka starptautiskās lidostas “Rīga” turpmākajai attīstībai nepieciešamajā teritorijā īpašumu atsavināšanas gadījumā tiek piemirsts noskaidrot Satiksmes ministrijas viedokli par nekustamā īpašuma nepieciešamību lidlauka teritorijas (arī turpmākajai attīstībai nepieciešamās teritorijas)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2024.gada 14.novembra sēdes  3.lasījumā tika pieņemts likumprojekts “Grozījumi likumā “Par aviāciju””, saskaņā ar kuru no 2025.gada 1.aprīļa  grozīts 23.</w:t>
            </w:r>
            <w:r w:rsidR="00000000" w:rsidRPr="00000000" w:rsidDel="00000000">
              <w:rPr>
                <w:vertAlign w:val="superscript"/>
                <w:rtl w:val="0"/>
              </w:rPr>
              <w:t xml:space="preserve">1</w:t>
            </w:r>
            <w:r w:rsidR="00000000" w:rsidRPr="00000000" w:rsidDel="00000000">
              <w:rPr>
                <w:rtl w:val="0"/>
              </w:rPr>
              <w:t xml:space="preserve"> panta trešās daļas 1. punkts, kā rezultātā, ja īpašnieks atsavina nekustamo īpašumu, kas iekļauts attiecīgā valsts nozīmes civilās aviācijas lidlauka teritorijas (arī turpmākajai attīstībai nepieciešamās teritorijas) robežās, un valsts nozīmes civilās aviācijas lidlauks pieder kapitālsabiedrībai, kurā valstij ir izšķiroša ietekme, — attiecīgajai kapitālsabiedrībai ir pirmpirkuma tiesības.  Tādējādi arī publiskai personai šajā gadījumā būtu pienākums piedāvāt attiecīgai kapitālsabiedrībai pirmpirkuma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ka apbūves tiesīgais būs tiesīgs ierosināt nekustamā īpašuma atsavināšanu, tad konkrēti lidlauka teritorijā (arī turpmākajai attīstībai nepieciešamā teritorijā) ir jāparedz, ka arī  valsts nozīmes civilās aviācijas lidlauka īpašniekam ir tiesība savlaicīgi realizēt šādas atsavināšanas ierosināšanas tiesības. Piemēram, ja lidlauka teritorijā pašvaldībai pieder kāds zemes gabals, kas būtu nepieciešams attiecīgā lidlauka  attīstībai – vienīgais instruments zemes gabala iegūšanai  ir ‘gaidīt’ nekustamā īpašuma atsavināšanu pirmpirkuma tiesību izmantošanai (likums “Par aviāciju”). Savukārt apbūves tiesīgajam  būs tiesības pašam noteikt, kad zemes gabalu ierosināt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ar 4.panta ceturtās daļas 11.punktu atbilstoši piedāvātajai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radīts mehānisms, kādā VAS “Starptautiskā lidosta “Rīga”” var iegūt īpašumā publiskas personas nekustamo īpašumu un turpmāk izmantot to starptautiskās lidostas “Rīga” turpmākajai attīstībai un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nozīmes civilās aviācijas lidlauka īpašnieks, ja nekustamais īpašums atrodas attiecīgā valsts nozīmes civilās aviācijas lidlauka teritorijas (arī turpmākajai attīstībai nepieciešamā teritorijā)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Vernera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19.11.2024.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19.11.2024.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Atzinumi_24-TA-2003.docx</dc:title>
</cp:coreProperties>
</file>

<file path=docProps/custom.xml><?xml version="1.0" encoding="utf-8"?>
<Properties xmlns="http://schemas.openxmlformats.org/officeDocument/2006/custom-properties" xmlns:vt="http://schemas.openxmlformats.org/officeDocument/2006/docPropsVTypes"/>
</file>