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aprīļa noteikumos Nr. 228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anotācijā formāciju par plānoto sasaisti ar Valsts un pašvaldību pedagoģiski medicīnisko komisiju informācijas sistēmu: cik liels finansējums plānots šai darbībai, kāds būs darbības apjoms (t.sk., kādas priekšrocības tas sniegs un vai plānots mazināt administratīvo slogu), kā arī, kāpēc darbība plānota tieši šobrīd, nevis jau projekta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 (Matīss Iesalnieks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8.1.13. apakšsadaļā par datu aizsardzību norādīts, ka netiek paredzēta tieša projekta personāla piekļuve Valsts un pašvaldību pedagoģiski medicīnisko komisiju informācijas sistēmā esošajiem personas datiem un tiek skaidrots: "</w:t>
            </w:r>
            <w:r w:rsidR="00000000" w:rsidRPr="00000000" w:rsidDel="00000000">
              <w:rPr>
                <w:u w:val="single"/>
                <w:rtl w:val="0"/>
              </w:rPr>
              <w:t xml:space="preserve">Datu izmantošana notiks caur izglītības iestāžu vai pašvaldību atbildīgo personu sagatavotiem pieteikumiem</w:t>
            </w:r>
            <w:r w:rsidR="00000000" w:rsidRPr="00000000" w:rsidDel="00000000">
              <w:rPr>
                <w:rtl w:val="0"/>
              </w:rPr>
              <w:t xml:space="preserve">, kuros tiks iekļauta tikai nepieciešamā informācija asistīvo tehnoloģiju piešķiršanas izvērtēšanai". Aicinām šāda veida personas datu apstrādes pieeju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1 740 000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1 479 000 </w:t>
            </w:r>
            <w:r w:rsidR="00000000" w:rsidRPr="00000000" w:rsidDel="00000000">
              <w:rPr>
                <w:i w:val="1"/>
                <w:rtl w:val="0"/>
              </w:rPr>
              <w:t xml:space="preserve">euro</w:t>
            </w:r>
            <w:r w:rsidR="00000000" w:rsidRPr="00000000" w:rsidDel="00000000">
              <w:rPr>
                <w:rtl w:val="0"/>
              </w:rPr>
              <w:t xml:space="preserve"> un valsts budžeta līdzfinansējums –  261 000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2025. gada 8. aprīļa noteikumu Nr. 228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(turpmāk – MK noteikumi Nr. 228) 5. punktā vārdu "plānotais" ar vārdu "pieejamais".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 (Matīss Iesalnieks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savā tīmekļvietnē ne retāk kā reizi sešos mēnešos ievieto aktuālu informāciju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izvērtēt un nenoteikt stingrākas prasības par tām, kas paredzētas ES fondu 2021.–2027. gada un Atveseļošanas fonda komunikācijas un dizaina vadlīnijās. Esošajā redakcijā ir noteikts, ka informācija jāaktualizē ne retāk kā reizi sešos mēnešos, taču ierosinām norādīt tikai to, ka informācija jāaktualizē, ja tas ir nepieciešams, nenosakot konkrētu biežumu. Tas ļautu saglabāt prasības atbilstošas vadlīnijām, neieviešot stingrākus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nodrošina interešu konflikta neesību saskaņā ar Eiropas Parlamenta un Padomes 2024. gada 23. septembra Regulas (ES, Euratom) 2024/2509 par finanšu noteikumiem, ko piemēro Savienības vispārējam budžetam (pārstrādāta redakcija),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izvērtējama MK noteikumu Nr. 228 26.5. apakšpunktā ietvertās atsauces uz Eiropas Parlamenta un Padomes 2024. gada 23. septembra Regulas Nr. 2024/2509 par finanšu noteikumiem, ko piemēro Savienības vispārējam budžetam (turpmāk - Regula), 61. pantu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regulējums ir tieši piemērojams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konkrētā pasākuma specifiku, aicinām izvērtēt MK noteikumu Nr. 228 26.5. apakšpunktā ietvertās atsauces uz Regulu nepieciešamu, ja attiecināms, to svītrojot.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ņēmējs izveido projekta īstenošanas konsultatīvo padomi, kurā uzaicina piedalīties nozaru ministriju un sociālo partneru pārstāvjus, tai skaitā pārstāvjus no izglītības jomas sabiedriskajām organizācijām, personu ar īpašām vajadzībām pārstāvošām organizācijām, kā arī nozares ekspertus. Projekta īstenošanas konsultatīvās padomes sastāvā novērotāju statusā var iekļaut pārstāvjus arī no citām organizācijām un institūcijām, tai skaitā no sadarbības iestādes. Projekta īstenošanas konsultatīvās padomes darbību nosaka finansējuma saņēmēja izstrādāts, apstiprināts  un ar Izglītības un zinātnes ministriju kā nozares ministriju saskaņots nolikums. Projekta īstenošanas konsultatīvā padome izskata šo noteikumu 29. punktā minētos dokumentus un citus projekta īstenošanā būtiskus jautājumus un var sniegt finansējuma saņēmējam priekšlikumus projekta īstenošanas pilnveidei, lai sekmētu projekta efektīvu un kvalitatīvu rezultātu sasniegšanu atbilstoši projekta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noteikumu projekta 5. punkts paredz izteikt MK noteikumu Nr. 228 28. punktu jaunā redakcijā un atbilstoši tai projekta īstenošanas konsultatīvās padomes nolikumu izstrādā un apstiprina finansējuma saņēmējs, savukārt Izglītības un zinātnes ministrija to saskaņo.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pietiekami objektīva ir iecerētā kārtība, atbilstoši kurai finansējuma saņēmējs pats gan izveido projekta īstenošanas konsultatīvo padomi, t.i. struktūru, gan izstrādā un apstiprina projekta īstenošanas konsultatīvās padomes nolikumu. Konstatējams, ka šāda pieeja var radīt nepietiekamas objektivitātes riskus, tādējādi aicinām noteikumu projekta 6. punktā izteikto 28. punktu izteikt jaunā redakcijā nosakot, ka projekta īstenošanas konsultatīvās padomes nolikumu apstiprina Izglītības un zinātnes ministrija, lai nodrošinātu neatkarīgu un kvalitatīvu padomes darbību. Tomēr ja šādai pieejai, tai skaitā attiecībā uz atbildīgo institūciju funkciju sadalījumu, pastāv objektīvi apsvērumi, aicinām tos skaidrot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ņēmējs izveido projekta īstenošanas konsultatīvo padomi, kurā uzaicina piedalīties nozaru ministriju un sociālo partneru pārstāvjus, tai skaitā pārstāvjus no izglītības jomas sabiedriskajām organizācijām, personu ar īpašām vajadzībām pārstāvošām organizācijām, kā arī nozares ekspertus. Projekta īstenošanas konsultatīvās padomes sastāvā novērotāju statusā var iekļaut pārstāvjus arī no citām organizācijām un institūcijām, tai skaitā no sadarbības iestādes. Projekta īstenošanas konsultatīvās padomes darbību nosaka finansējuma saņēmēja izstrādāts, apstiprināts  un ar Izglītības un zinātnes ministriju kā nozares ministriju saskaņots nolikums. Projekta īstenošanas konsultatīvā padome izskata šo noteikumu 29. punktā minētos dokumentus un citus projekta īstenošanā būtiskus jautājumus un var sniegt finansējuma saņēmējam priekšlikumus projekta īstenošanas pilnveidei, lai sekmētu projekta efektīvu un kvalitatīvu rezultātu sasniegšanu atbilstoši projekta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28.punktā lūdzam aizstāt vārdu "ņēmējs" ar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izveido projekta īstenošanas konsultatīvo padomi, kurā uzaicina piedalīties nozaru ministriju un sociālo partneru pārstāvjus, tai skaitā pārstāvjus no izglītības jomas sabiedriskajām organizācijām, personu ar īpašām vajadzībām pārstāvošām organizācijām, kā arī nozares ekspertus. Projekta īstenošanas konsultatīvās padomes sastāvā novērotāju statusā var iekļaut pārstāvjus arī no citām organizācijām un institūcijām, tai skaitā no sadarbības iestādes. Projekta īstenošanas konsultatīvās padomes darbību nosaka finansējuma saņēmēja izstrādāts, apstiprināts  un ar Izglītības un zinātnes ministriju kā nozares ministriju saskaņots nolikums. Projekta īstenošanas konsultatīvā padome izskata šo noteikumu 29. punktā minētos dokumentus un citus projekta īstenošanā būtiskus jautājumus un var sniegt finansējuma saņēmējam priekšlikumus projekta īstenošanas pilnveidei, lai sekmētu projekta efektīvu un kvalitatīvu rezultātu sasniegšanu atbilstoši projekta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izskatīšanai projekta īstenošanas konsultatīvajā padomē iesniedz šo noteikumu 18.1. apakšpunktā minētās atbalstāmās darbības ietvaros izstrādātu asistīvo tehnoloģiju apmaiņas sistēmas aprakstu, šo noteikumu 18.4. apakšpunktā minētās atbalstāmās darbības ietvaros izstrādātā izmēģinājumprojekta izvērtējuma darba uzdevumus (saturu) un rezultātu (nodevumu), un ne retāk kā reizi sešos mēnešos iesniedz ziņojumu par projekta īstenošanas progresu, tai skaitā par īstenotajiem mērķa grupas informēšanas pasākumiem, šo noteikumu 4. punktā minētā nacionālā rādītāja sasniegšanas progresu, īstenoto darbību saturu un atbilstību pasākuma mērķim un mērķa grupas vajadzībām, par veiktajiem un nepieciešamajiem uzlabojumiem projekta īstenošanā, pievienojot arī sadarbības partneru un citu projekta īstenošanā iesaistīto pušu viedokļus.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228 29. punkts paredz projekta uzraudzības padomes tiesības uzdot finansējuma saņēmējam veikt izmaiņas projekta īstenošanas gaitā, ja konstatēti riski projekta ieviešanas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projekta 6. punktā izteikto 29. punktu paredzot līdzvērtīgas tiesības arī projekta īstenošanas konsultatīvajai padomei, nodrošinot tai iespēju ierosināt nepieciešamos uzlabojumus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26-TA-727</w:t>
    </w:r>
    <w:r>
      <w:br/>
    </w:r>
    <w:r w:rsidR="00000000" w:rsidRPr="00000000" w:rsidDel="00000000">
      <w:rPr>
        <w:rtl w:val="0"/>
      </w:rPr>
      <w:t xml:space="preserve">Izdrukāts 15.05.2026.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26-TA-727</w:t>
    </w:r>
    <w:r>
      <w:br/>
    </w:r>
    <w:r w:rsidR="00000000" w:rsidRPr="00000000" w:rsidDel="00000000">
      <w:rPr>
        <w:rtl w:val="0"/>
      </w:rPr>
      <w:t xml:space="preserve">Izdrukāts 15.05.2026.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Atzinumi_26-TA-727.docx</dc:title>
</cp:coreProperties>
</file>

<file path=docProps/custom.xml><?xml version="1.0" encoding="utf-8"?>
<Properties xmlns="http://schemas.openxmlformats.org/officeDocument/2006/custom-properties" xmlns:vt="http://schemas.openxmlformats.org/officeDocument/2006/docPropsVTypes"/>
</file>