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w:t>
            </w:r>
            <w:r w:rsidR="00000000" w:rsidRPr="00000000" w:rsidDel="00000000">
              <w:rPr>
                <w:b w:val="1"/>
                <w:rtl w:val="0"/>
              </w:rPr>
              <w:t xml:space="preserve">35.</w:t>
            </w:r>
            <w:r w:rsidR="00000000" w:rsidRPr="00000000" w:rsidDel="00000000">
              <w:rPr>
                <w:b w:val="1"/>
                <w:vertAlign w:val="superscript"/>
                <w:rtl w:val="0"/>
              </w:rPr>
              <w:t xml:space="preserve">11</w:t>
            </w:r>
            <w:r w:rsidR="00000000" w:rsidRPr="00000000" w:rsidDel="00000000">
              <w:rPr>
                <w:b w:val="1"/>
                <w:rtl w:val="0"/>
              </w:rPr>
              <w:t xml:space="preserve"> pants.  Licences izsniegšana, apturēšana un anulēšana darbam ar militāra rakstura sprādzienbīstamiem priekšmetiem, nesprāgušu munīciju un citām militāra rakstura ķīmiskām vielām</w:t>
            </w:r>
            <w:r w:rsidR="00000000" w:rsidRPr="00000000" w:rsidDel="00000000">
              <w:rPr>
                <w:rtl w:val="0"/>
              </w:rPr>
              <w:t xml:space="preserve"> </w:t>
            </w:r>
            <w:r w:rsidR="00000000" w:rsidRPr="00000000" w:rsidDel="00000000">
              <w:rPr>
                <w:b w:val="1"/>
                <w:rtl w:val="0"/>
              </w:rPr>
              <w:t xml:space="preserve">piesārņoto teritoriju izpētei un nesprāgušas munīcijas meklēšanai, identificēšanai, izcelšanai, savākšanai un uzglabāšanai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Ekonomikas ministrija pareizi saprot, ka darbību veikšanai juridiskai personai ir nepieciešama licence, bet fiziskai personai spēkā esošs sertifikāts? Vienlaicīgi fiziskai personai atbilstoši piedāvātai 35</w:t>
            </w:r>
            <w:r w:rsidR="00000000" w:rsidRPr="00000000" w:rsidDel="00000000">
              <w:rPr>
                <w:vertAlign w:val="superscript"/>
                <w:rtl w:val="0"/>
              </w:rPr>
              <w:t xml:space="preserve">10</w:t>
            </w:r>
            <w:r w:rsidR="00000000" w:rsidRPr="00000000" w:rsidDel="00000000">
              <w:rPr>
                <w:rtl w:val="0"/>
              </w:rPr>
              <w:t xml:space="preserve">.panta piektās daļas 3.punkta redakcijai ir jābūt saimnieciskās darbības veicējam (proti, sertifikāts tiek apturēts, ja personas saimnieciskā darbība ir apturēta. Vienlaicīgi saskaņā ar piedāvātā regulējuma 35</w:t>
            </w:r>
            <w:r w:rsidR="00000000" w:rsidRPr="00000000" w:rsidDel="00000000">
              <w:rPr>
                <w:vertAlign w:val="superscript"/>
                <w:rtl w:val="0"/>
              </w:rPr>
              <w:t xml:space="preserve">11</w:t>
            </w:r>
            <w:r w:rsidR="00000000" w:rsidRPr="00000000" w:rsidDel="00000000">
              <w:rPr>
                <w:rtl w:val="0"/>
              </w:rPr>
              <w:t xml:space="preserve">.panta otro daļu, lai komersants dabūtu licenci minēto darbību veikšanai, panta ievaddaļā minētajam personām ir jābūt ar spēkā esošu sertifikātu.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prāt, regulējums nav skaidrs. Vai visām personām ir jābūt sertificētam? Piemēram, būvniecības jomā komersants var sniegt pakalpojumu, ja tam darbā ir vismaz viens atbilstošās sfēras būvspeciālists. Vai sertificētais speciālists atbilst prasībām un nebūs piemērojams 35</w:t>
            </w:r>
            <w:r w:rsidR="00000000" w:rsidRPr="00000000" w:rsidDel="00000000">
              <w:rPr>
                <w:vertAlign w:val="superscript"/>
                <w:rtl w:val="0"/>
              </w:rPr>
              <w:t xml:space="preserve">10</w:t>
            </w:r>
            <w:r w:rsidR="00000000" w:rsidRPr="00000000" w:rsidDel="00000000">
              <w:rPr>
                <w:rtl w:val="0"/>
              </w:rPr>
              <w:t xml:space="preserve">.panta piektās daļas 3.punkts, ja tas ir darba tiesiskajās attiecībās ar licenzēto komersantu? Iesakām precizēt regulējumu, lai vēlāk nerastos strīdi regulējuma piemērošanā. Skaidrības labad lūdzam regulējuma nostiprināt, ka licenci var saņemt, ja komersants nodarbina sertificētus speciālistus.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25.05.2026. 07.37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25.05.2026. 07.37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