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ceturtā rīcības virziena "Kvalitatīva mediju vide" ietvaros nodrošinot koordinētus un sistemātiskus pasākumus mediju profesionāļu mūžizglītības nodrošināšanai, aicinām rast iespēju sagatavot un sistemātiski iepazīstināt mediju vides profesionāļus ar tēmām, kas saistītas ar sociāliem fenomeniem un sociālām problēmām, piemēram, vardarbību un tās normalizēšanas sekām, dzimumu līdztiesību, nabadzības un nevienlīdzības mazināšana, traumatiska pieredze u.tml., kā arī to ilgtermiņa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projekta 7.sadaļā norādīto sasaisti ar ANO Bērnu tiesību konvenciju un īpaši 17. pantā noteiktajiem pienākumiem dalībvalstīm, lūdzam pamatnostādņu projekta pirmajā rīcības virzienā "Stipra Latvijas mediju vide un informatīvā telpa" iekļaut uzdevumus, kas būtu mērķēti uz bērnu / jauniešu interesēm un vajadzībām piemērotas informācijas veidošanu, tostarp, paredzot mērķtiecīgas darbības kaitējoša satura pieejamības mazināšanai, izglītošanai par kritisku satura izvērtēšanu un lietošanu, izglītojot par dažādu sabiedrībā izplatītu problēmu cēloņiem un seku mazināšanas iespējām, piemēram dažādiem vardarbības veidiem, mentālo veselību, attiecību veidošanu, konfliktu risināšanas prasmju stiprināšanu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pielikumā ir raksturots ļoti būtisks aspekts - ētikas prasību ievērošana, mediju pašregulācija ētikas normu uzraudzībā. Ētikas normu nodrošināšana ir svarīga, lai veidotu kvalitatīvu mediju saturu un paaugstinātu uzticēšanos publicētajam saturam un profesionalitātei. Tā kā pamatnostādņu projekta IV rīcības virzienā "Kvalitatīva mediju vide" nav paredzēts neviens uzdevums attiecīgās problēmas risināšanai, aicinām papildināt plānotos uzdevumus ar uzdevumu par ētikas normu ievērošanas pilnveidošanu.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pamatnostādņu projekta otrajā rīcības virzienā ir aptverti tādi aspekti kā žurnālistu fiziskā un emocionālā drošība, tiesiskā aizsardzība un apdraudējuma novēršana, nav saprotama Labklājības ministrijas iesaistes nepieciešamība rīcības virziena "Droša mediju vide" 1.uzdevuma izpildes nodrošināšanā. Turklāt uzdevumam atbilstošie rādītāji aptver tieslietu un iekšlietu sektoru darbinieku apmācību un pasākumus žurnālistu drošības nodrošināšanai. Tādēļ lūdzam skaidrot Labklājības ministrijas lomu vai arī attiecīgi precizēt līdzatbildīgo institūciju sarakstu, svītrojot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esošo pieeju politikas pamatprincipu un rīcības virzienu definēšanā. Tā kā politikas pamatprincipi ir identiski rīcības virzieniem, savukārt politikas pamatprincipu skaidrojums pēc būtības aptver pamatnostādņu projekta pielikumā iekļautās situācijas raksturojuma kopsavilkumu un iezīmē turpmāko rīcību, ir apgrūtināta pamatnostādņu projekta uztveramība un nav saprotama tā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10.06.2024.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10.06.2024.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