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1. Iekšlietu ministrija atbilstoši šo noteikumu 7.</w:t>
            </w:r>
            <w:r w:rsidR="00000000" w:rsidRPr="00000000" w:rsidDel="00000000">
              <w:rPr>
                <w:vertAlign w:val="superscript"/>
                <w:rtl w:val="0"/>
              </w:rPr>
              <w:t xml:space="preserve">1</w:t>
            </w:r>
            <w:r w:rsidR="00000000" w:rsidRPr="00000000" w:rsidDel="00000000">
              <w:rPr>
                <w:rtl w:val="0"/>
              </w:rPr>
              <w:t xml:space="preserve">3., 7.</w:t>
            </w:r>
            <w:r w:rsidR="00000000" w:rsidRPr="00000000" w:rsidDel="00000000">
              <w:rPr>
                <w:vertAlign w:val="superscript"/>
                <w:rtl w:val="0"/>
              </w:rPr>
              <w:t xml:space="preserve">1</w:t>
            </w:r>
            <w:r w:rsidR="00000000" w:rsidRPr="00000000" w:rsidDel="00000000">
              <w:rPr>
                <w:rtl w:val="0"/>
              </w:rPr>
              <w:t xml:space="preserve">5. un 7.</w:t>
            </w:r>
            <w:r w:rsidR="00000000" w:rsidRPr="00000000" w:rsidDel="00000000">
              <w:rPr>
                <w:vertAlign w:val="superscript"/>
                <w:rtl w:val="0"/>
              </w:rPr>
              <w:t xml:space="preserve">1</w:t>
            </w:r>
            <w:r w:rsidR="00000000" w:rsidRPr="00000000" w:rsidDel="00000000">
              <w:rPr>
                <w:rtl w:val="0"/>
              </w:rPr>
              <w:t xml:space="preserve">18. apakšpunktā paredzētajai kompetencei;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noteikumu anotācijā iekļaut skaidrojumu kāpēc Iekšlietu ministrija ir norādīta kā IMI sistēmas koordinators norādītājos apakšpunktos un attiecīgi arī IMI sistēmas pārvaldnieks atbilstoši norādītajos apakšpunktos paredzētajai kompetencei.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Grīnbergs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54.2.1. pārbauda un apliecina pretendenta iesniegto dokumentu autentiskumu un derīgumu, kā arī pārbauda Iedzīvotāju reģistrā ziņas par pretendenta iesniegto personu apliecinošo dokumentu un ziņas par pretendenta dzimšanas vietu (ja personu apliecinošajā dokumentā dzimšanas vieta nav norādīta), ievērojot Iedzīvotāju reģistra likuma 10. panta pirmās daļas 6. un 11. punktā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Pilsonības un migrācijas lietu pārvalde informē, ka 2021.gada 28.jūnijā stājās spēkā Fizisko personu reģistra likums. Līdz ar Fizisko personu reģistra likuma spēkā stāšanos spēku zaudēja Iedzīvotāju reģistra likums, tādējādi Iedzīvotāju reģistra informācijas sistēma izbeidza savu darbību un darbību uzsāka Fizisko personu reģistra informācijas sistēma.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“Iedzīvotāju reģistrs” attiecīgajā locījumā ar vārdiem “Fizisko personu reģistrs” attiecīgajā locījumā.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tekstu "Iedzīvotāju reģistra likuma 10. panta pirmās daļas 6. un 11. punktā" ar tekstu "Fizisko personu reģistra likuma 11.panta pirmās daļas 7. un 16.punktā".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Ruslans Karpovecs (PMLP)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61.2.2. ziņas par pretendenta iesniegto personu apliecinošo dokumentu un ziņas par pretendenta dzimšanas vietu, ja personu apliecinošajā dokumentā dzimšanas vieta nav norādīta, pārbauda Iedzīvotāju reģistrā, ievērojot Iedzīvotāju reģistra likuma 10. panta pirmās daļas 6. un 11. punktā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Pilsonības un migrācijas lietu pārvalde informē, ka 2021.gada 28.jūnijā stājās spēkā Fizisko personu reģistra likums. Līdz ar Fizisko personu reģistra likuma spēkā stāšanos spēku zaudēja Iedzīvotāju reģistra likums, tādējādi Iedzīvotāju reģistra informācijas sistēma izbeidza savu darbību un darbību uzsāka Fizisko personu reģistra informācijas sistēma.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“Iedzīvotāju reģistrs” attiecīgajā locījumā ar vārdiem “Fizisko personu reģistrs” attiecīgajā locījumā.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tekstu "Iedzīvotāju reģistra likuma 10. panta pirmās daļas 6. un 11. punktā" ar tekstu "Fizisko personu reģistra likuma 11.panta pirmās daļas 7. un 16.punktā".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Ruslans Karpovecs (PMLP)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08.05.2023. 12.08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08.05.2023. 12.08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