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22-TA-1405: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Aizsargjoslu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Attiecībā uz likumprojekta spēkā stāšanos, norādām, ka minētajos likumos (likums "Grozījumi likumā "Par ietekmes uz vidi novērtējumu"" un likums "Grozījums Covid-19 infekcijas izplatības seku pārvarēšanas likumā") var tikt izdarīti arī citi grozījumi, tādēļ, lai būtu saprotams ar kādiem tieši grozījumiem likumprojekts vienlaikus stājas spēkā, ierosinām to norādīt likumprojekta pārejas regulējumā.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Agnese Sermā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22-TA-1405</w:t>
    </w:r>
    <w:r>
      <w:br/>
    </w:r>
    <w:r w:rsidR="00000000" w:rsidRPr="00000000" w:rsidDel="00000000">
      <w:rPr>
        <w:rtl w:val="0"/>
      </w:rPr>
      <w:t xml:space="preserve">Izdrukāts 15.11.2022. 16.10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22-TA-1405</w:t>
    </w:r>
    <w:r>
      <w:br/>
    </w:r>
    <w:r w:rsidR="00000000" w:rsidRPr="00000000" w:rsidDel="00000000">
      <w:rPr>
        <w:rtl w:val="0"/>
      </w:rPr>
      <w:t xml:space="preserve">Izdrukāts 15.11.2022. 16.10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