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2.1.3. specifiskā atbalsta mērķa “Veicināt pielāgošanos klimata pārmaiņām, risku novēršanu un noturību pret katastrofām”  2.1.3.1. pasākuma “Pašvaldību pielāgošanās klimata pārmaiņām”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pirmās atlases kārtas ietvaros plānotais un pieejamais kopējais finansējums ir ne mazāks kā 34 762 296 </w:t>
            </w:r>
            <w:r w:rsidR="00000000" w:rsidRPr="00000000" w:rsidDel="00000000">
              <w:rPr>
                <w:i w:val="1"/>
                <w:rtl w:val="0"/>
              </w:rPr>
              <w:t xml:space="preserve">euro</w:t>
            </w:r>
            <w:r w:rsidR="00000000" w:rsidRPr="00000000" w:rsidDel="00000000">
              <w:rPr>
                <w:rtl w:val="0"/>
              </w:rPr>
              <w:t xml:space="preserve">, tai skaitā Eiropas Reģionālās attīstības fonda finansējums – 29 547 951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finansējums – ne mazāks kā 5 214 345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punktu, anotācijas 1.3.sadaļu un 3.sadaļas 6. punktu, norādot nacionālā līdzfinansējuma apmēra sadalījumu  starp pašvaldību budžeta līdzfinansējumu un privāto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ar projekta īstenošanu saistītās pamatojošās dokumentācijas sagatavošanas izmaksas, kas nav radušās uz darba līguma pamata, kopā nepārsniedzot 10 procentus no projekta kopējām attiecināmajām izmaksām,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izmaksu nosacījumi Eiropas Savienības kohēzijas politikas programmas 2021.-2027.gada plānošanas periodā nosaka, ka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27.1. un 27.2. apakšpunktā noteiktos sliekšņus, ņemot vērā, ka pašlaik noteikumu projekta 27.1. un 27.2. apakšpunkti kopā paredz, ka kopā ir attiecināmas līdz 15 %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aizstāt noteikumu projekta 27.1. apakšpunktā minētās "ar projekta īstenošanu saistītās pamatojošās dokumentācijas sagatavošanas izmaksas" ar "projekta iesnieguma saistītās pamatojošās dokumentācijas sagatavošanas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rezerves izmaksas ne vairāk kā desmit procentu apmērā no attiecināmo būvniecības izmaksu kopsummas, ja projektā paredzētas būvniecības darbības un attiecināmajās izmaksās nav iekļauti šo noteikumu 27.8. apakšpunktā minētie neparedzētie izdevumi, un kuru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paredzot vienu izmaksu apjomu - vai nu neparedzēto izmaksu apjomu vai rezerves izmaksu apjomu, norādot arī pamatojumu, kāpēc konkrētajā investīcijā nosaka procentuālo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precizējumu veikšanas, lūdzam attiecīgi salāgot informāciju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rezerves izmaksu 10% apmērā iekļaušanu projektu attiecināmajās izmaksās, jo tas ietekmē pašvaldībām pieejamo aizņēmuma apmēru projekta īstenošanai. Vēršam uzmanību, ka pašvaldību aizņēmuma limits ir ierobežots, jo pašvaldību aizņēmumi  ietekmē vispārējās valdības budžeta deficītu.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pēc projekta iesnieguma apstiprināšanas kļūst par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punktu iepriekšējā redakcijā, jo par finansējuma saņēmēju projekta iesniedzējs var kļūt tikai uzņemoties finanšu saistības, parakstot līgumu vai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pēc projekta iesnieguma apstiprināšanas un civiltiesiskā līguma vai vienošanās par projekta īstenošanu noslēgšanas ir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Lucāne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būvdarbu un pakalpojumu līgumu izmaksas, izņemot šo noteikumu 27.1. un 27.2. apakšpunktā minētās izmaksas, kuru iepirkumu procedūras tiek veiktas saskaņā ar Publisko iepirkumu likumu, īstenojot atklātu, pārredzamu, nediskriminējošu un konkurenci nodrošinošu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iepriekšējo redakciju, jo arī 27.1 un 27.2. apakšpunktā minētajiem pakalpojumiem jāveic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Lucāne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tiešās attiecināmās projekta vadības personāla atlīdzības izmaksas, tai skaitā valsts sociālās apdrošināšanas obligātās iemaksas, kuras saskaņā ar regulas Nr. 2021/1060 55. panta 1. punktu projekta iesniegumā plāno kā vienu izmaksu pozīciju, piemērojot izmaksu vienoto likmi sešu procentu apmērā no šo noteikumu 27. punktā minētajām tiešajām attiecināmajām izmaksām, kas nav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šādu precizējumu veikšanu personāla atlīdzības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noteikumu projekta 27.11.apakšpunktā vārdus "tai skaitā valsts sociālās apdrošināšanas obligātās iemaksas". Vēršam uzmanību, ka vienotās likmes apmēra aprēķinā ir iekļauts arī sadarbības partnera personāls, kas uzskatāms par īstenošanas personālu, līdz ar to aicinām salāgot redakcijas, paredzot vienoto likmi piemērot arī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salāgotu ar Eiropas Parlamenta un Padomes 2021.gada 24.jūnija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noteikumu projektā aizstāt terminu - personāla atlīdzības izmaksas ar "personāla izmaksas", atbilstošus precizējumus veicot arī anotācijā,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anotācijā iekļauto aprakstu par personāla izmaksu vienoto likmi, ņemot vērā, ka likmes apmēra saskaņošanas procesā tika papildus paredzēts personāls arī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norādīto rindkopu, kas sākas ar vārdiem "2) tas ir objektīvs - …..." aicinām papildināt apsvērumus vienotās likmes aprēķinam, piemēram, personāla atlīdzības izmaksu likmes apmērs ir aprēķināts, balstoties uz atalgojuma līmeni pa mēnešalgu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Izmaksas, kas saskaņā ar šiem noteikumiem nav iekļaujamas projektā kā attiecināmās izmaksas, ir finansējamas ārpus projekta par finansējuma saņēmēja vai sadarbības partnera līdzekļiem. Ārpus projekta nedrīkst paredzēt izmaksas par darbībām, kas tiešā veidā nodrošina projekta mērķa sasniegšanu, izņemot šo noteikumu 35.8.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skaidrojumu par papildināto punkta redakciju, kas aizliedz ārpus projekta paredzēt izmaksas par darbībām, kas tiešā veidā nodrošina projekta mērķa sasniegšanu. Lūdzam izvērtēt vai šāda nosacījuma iekļaušana nerada risku, ka projekta iesniedzēji projektu iesniegumos paredzēs zemāku ERAF finansējuma procentuālo daļu attiecināmajās izmaksās, ar mērķi to mainīt. Vēršam uzmanību, ka līguma grozījumu veikšana ar likmju izmaiņām liek atkārtoti izvērtēt projekta atbilstību atlases nosacījumiem un atklātas projektu iesniegumu atlases gadījumā, ja bija paredzēts vērtēšanas kritērijos, var ietekmēt sākotnējo lēmumu par projekta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netiešās attiecināmās izmaksas ir finansējuma saņēmēja projekta vadības personāla administratīvās izmaksas, kuras plāno kā vienu izmaksu pozīciju, piemērojot netiešo izmaksu vienoto likmi 15 procentu apmērā no šo noteikumu 27.11. punktā minētajām personāla izmaksām. Ja projekta īstenošanai tiek piesaistīts sadarbības partneris, netiešo attiecināmo izmaksu sadalījums starp projekta iesniedzēju un sadarbības partneri tiek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izsekojamību normas piemērošanai, lūdzam precizēt noteikumu projekta 31.punktu piedāvātajā redakcijā, atsaucoties uz konkrētu noteikumu projekta punktu attiecībā uz projekta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26.punktā minētās projekta netiešās attiecināmās izmaksas ir finansējuma saņēmēja projekta vadības personāla administratīvās izmaksas, kuras plāno kā vienu izmaksu pozīciju, piemērojot netiešo izmaksu vienoto likmi 15 procentu apmērā no šo noteikumu 27.11. apakšpunktā minētajām personāla izmaksām. Ja projekta īstenošanai tiek piesaistīts sadarbības partneris, netiešo attiecināmo izmaksu sadalījums starp projekta iesniedzēju un sadarbības partneri tiek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sniedz sadarbības iestādei informāciju par šo noteikumu 35.2. un 35.4. apakšpunktā minētajiem horizontālo principu rādītājiem vienlaikus ar informāciju par šo noteikumu 5. punktā minēto rādītāju (kuri attiecināmi) vērtības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svītrojot atsauci uz 35.4. apakšpunktu, kurā ir minēti horizontālie principi nevis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sniedz sadarbības iestādei informāciju par šo noteikumu 35.2. apakšpunktā minētajiem horizontālo principu rādītājiem vienlaikus ar informāciju par šo noteikumu 5. punktā minēto rādītāju (kuri attiecināmi) vērtības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sadaļā "Projekta īstenošanas nosacījumi"  pēdējās rindkopas "Projekta dzīves cikls ir atbilstošs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pantā noteiktajam, t.sk. finansējuma saņēmējs ievēro 65. panta pirmās daļas b) un c) apakšpunktā minētās prasības, pretējā gadījumā veic saņemtā finansējuma atmaksāšanu 65. panta pirmajā daļā noteiktajā kārtībā." vārdus "projekta dzīves cikls" (teikuma sākums) ar vārdiem "projekta ilgtspējas periods", jo Eiropas Parlamenta un Padomes Regulas (ES) 2021/1060 65.pantā ir norādīti nosacījumi darbību ilglaicīgumam un tie nav saistīti ar projekta dzīves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projekta dzīves ciklu lūdzam anotācijā norādīt atsevišķi no projekta ilgtspējas perioda, lai nejauktu abus šos jēdzienus. Vienlaikus aicinām papildināt anotāciju ar informāciju par projekta dzīves cikla iespējamo ilgumu, ja iespējams, skaidrojot, no kura brīža projekta dzīves cikla ilgums ir vismaz desmit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investīcijas ietvaros iespējams atjaunot vai ieviest trauksmes sirēnas, informācijas un komunikācijas tehnoloģiju aprīkojumu iedzīvotāju apziņošanai trauksmes gadījumā, lūdzam papildināt anotāciju ar nepieciešamību nodrošināt demarkāciju ar Iekšlietu ministrijas pārziņā esošo  Eiropas Savienības kohēzijas politikas programmas 2021.–2027.gadam 2.1.3. specifiskā atbalsta mērķa “Veicināt pielāgošanos klimata pārmaiņām, risku novēršanu un noturību pret katastrofām” 2.1.3.3. pasākumu “Katastrofu risku mazināšanas pasākumi”, ņemot vērā minētās investīcijas ietvaros plānoto atbalstu katastrofu risku mazināšanas pasākumiem, t.sk. informācijas sistēmas izveidošanai iedzīvotāju apziņošanai trauksmes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1.3.sadaļas rindkopā, kas sākas ar vārdiem "Noteikumu projekts paredz, ka attiecināmas ir arī personāla atlīdzības izmaksas……." norādītā netiešā attiecināmo izmaksu vienotā likme 15% apmērā nav ietverta Eiropas Parlamenta un Padomes 2021.gada 24.jūnija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55.panta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pārskatīt augstāk minētās rindkopas redakciju, vienoto likmi 6% apmērā un netiešo attiecināmo izmaksu vienoto likmi 15% apmērā izdalot atsevišķos 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noteikumu projekts ir par pasākuma pirmo atlases kārtu, lūdzam svītrot no anotācijas 3.sdaļas 6.punkta finansējuma sadalījumu pa gadiem pasākuma otrajai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5.punktā norādīts, ka pasākuma pirmās atlases kārtas ietvaros uzraudzības rādītāji  ir sasniedzami līdz 2027.gada 31. decembrim, taču anotācijas 3.sadaļas 6.punktā norādīts, ka finansējums tiek plānots arī 2028.gadam, attiecīgi nepieciešams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3. sadaļā 6.punktā jāprecizē kopsumma  2027.gadam, jo saskaitot kopā ERAF un pašvaldības finansējumu veidojas kopsumma 9 655 923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anotācijas 3.sadaļas 6.punktā norādīto finansējuma apmēra sadalījumu pa gadiem. Vēršam uzmanību, ka norādītā informācija nesakrīt ar norādīto procentuālo apmēru pa gadiem, piemēram, 2025.gadā 17.33% no 34 762 296 euro neatbilst norādītajiem 6 025 225 euro un šādas nesakritības aprēķinā ir arī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23-TA-2118</w:t>
    </w:r>
    <w:r>
      <w:br/>
    </w:r>
    <w:r w:rsidR="00000000" w:rsidRPr="00000000" w:rsidDel="00000000">
      <w:rPr>
        <w:rtl w:val="0"/>
      </w:rPr>
      <w:t xml:space="preserve">Izdrukāts 05.02.2024.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23-TA-2118</w:t>
    </w:r>
    <w:r>
      <w:br/>
    </w:r>
    <w:r w:rsidR="00000000" w:rsidRPr="00000000" w:rsidDel="00000000">
      <w:rPr>
        <w:rtl w:val="0"/>
      </w:rPr>
      <w:t xml:space="preserve">Izdrukāts 05.02.2024.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Atzinumi_23-TA-2118.docx</dc:title>
</cp:coreProperties>
</file>

<file path=docProps/custom.xml><?xml version="1.0" encoding="utf-8"?>
<Properties xmlns="http://schemas.openxmlformats.org/officeDocument/2006/custom-properties" xmlns:vt="http://schemas.openxmlformats.org/officeDocument/2006/docPropsVTypes"/>
</file>