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Krīzes vadības centrs pārņem apdraudējuma pārvaldīšanas vadību un koordinēšanu no CA OVC, ja katastrofas vai tās draudu gadījumā CA OVC ir jau izvērsts, savukārt izņēmuma stāvokļa izsludināšanas gadījumā šāds lēmums tiek ietverts izņēmuma stāvokļa rīkojumā. Lūgums precizēt, vai katastrofas vai tās draudu gadījumā apdraudējuma pārvaldīšanas vadības un koordinēšanas pārņemšana no CA OVC būtu ietverama attiecīgā rīkojumā par ārkārtējo situāciju. Vienlaikus lūgums precizēt, kā atšķirtos Krīzes vadības padomes tiesības civilās krīzes laikā dot uzdevumus valsts un pašvaldību institūcijām un koordinēt to izpildi no Krīzes vadības centra apdraudējuma pārvaldīšanas vadības un koordinēšanas pārnozaru krīzes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militārās krīzes vadību nodrošina Aizsardzības ministrija, savukārt atbalstu sniedz Krīzes vadības centrs. Ņemot vērā militāras krīzes specifiku, kad valsts apdraudējuma pārvarēšanā Aizsardzības ministrija ir noteikta kā atbildīgā institūcija, kas vienlaikus izņēmuma stāvokļa laikā nodrošinātu Ministru kabineta darbību, lūgums precizēt, kā norisinātos koordinācija starp institūcijām, ja Krīzes vadības centrs ir tiešā premjera pakļautībā.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viena no Krīzes vadības centra funkcijām būs krīzes komunikācijas koordinēšana. Ņemot vērā, ka pastāv Valsts pārvaldes komunikācijas koordinācijas grupa  Valsts kancelejas Stratēģiskās komunikācijas koordinācijas departamenta vadībā, kas risinātu stratēģiskās komunikācijas jautājumus ne tikai ikdienā, bet arī krīzes un apdraudējuma situācijās, lūgums precizēt, vai Krīzes vadības centra darbības nepārklātos ar minētās grupas darbu.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Krīzes vadības padomē ir nepieciešams iekļaut visu ministriju pārstāvniecību, taču vienlaikus tiek norādīts, ka Krīzes vadības padome būtu lemtspējīga, ja sēdē piedalītos premjers un vismaz trīs Krīzes vadības padomes locekļi. Ņemot vērā, ka šāda veida formāts jau ir noteikts kara kabinetā, kas pastāvētu izņēmuma stāvokļa laikā, aicinām izvērtēt iespēju paplašināt kara kabineta pilnvaras arī uz civilo krīžu risināšanu.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22.12.2023.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22.12.2023.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