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atbalsta pasākumus var īstenot, organizējot atbalsta pasākumu ietvaros finansējuma saņēmēju atlasi vai ievērojot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9.punktā noteikti 2 veidi kā ministrija var īstenot atbalsta pasākumus - organizējot atbalsta pasākumu ietvaros finansējuma saņēmēju atlasi vai ievērojot noteikto kārtību. No esošā Instrukcijas projekta punkta redakcijas nav skaidri saprotams, kas ir domāts ar noteikto alternatīvu "ievērojot noteikto kārtību". Lūdzam precizēt Instrukcijas projekta minēto punktu, skaidri un nepārprotami nosakot ministrijām piedāvātos veidus kā īstenot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darba devēja darbinieks ir apmeklējis mācības vismaz 75%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Instrukcijas projekta 3.punkts paredz, ka atbalsta pasākumos var piedalīties arī pašnodarbināta persona, lūdzam Instrukcijas projekta apakšpunktā noteikto kritēriju attiecināt arī uz šīm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darba devēja darbinieks ir nokārtojis attiecīgos mācību noslēgumā paredzētos pārbaudījumus,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Instrukcijas projekta 3.punkts paredz, ka atbalsta pasākumos var piedalīties arī pašnodarbināta persona, lūdzam Instrukcijas projekta apakšpunktā noteikto kritēriju attiecināt arī uz šīm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var izveidot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projekta 12.punktā noteikts, ka Ekonomikas ministrs var izveidot komisiju, kuras uzdevumi, cita starpā noteikti Instrukcijas projekta 13. un 14.punktos. Ņemot vērā to, ka minētajai komisijai ar Instrukcijas projektu piešķirtas plašas funkcijas, lūdzam precizēt Instrukcijas projekta punktu, nosakot pienākumu Ekonomikas ministram izveidot minēto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iekārtas likuma 5.panta pirmās daļas 14.punktam, lūdzam precizēt Viedās administrācijas un reģionālās attīstības ministrijas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projekta 4.punktā noteikts, ka nozaru vajadzībās balstītus atbalsta pasākumu izstrādā saskaņā ar Ekonomikas ministrijas izstrādāto rīcības plānu "Cilvēkkapitāla attīstības stratēģija 2024.-2027. gadam" (turpmāk - Stratēģija) [..]. Savukārt šajā punktā noteikts, ka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 Lūdzu precizēt atsauci uz lietoto saīsinājumu "Stratēģija", jo patlaban nav skaidrs vai tie ir divi dažādi dokumenti vai Ekonomikas ministrijas izstrādātais rīcības plāns "Cilvēkkapitāla attīstības stratēģija 2024.-2027.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ievērot interešu konflikta novēršanas principus saskaņā ar Komisijas regulas Nr. 2018/1046 61. pantu, kā arī caurskatāmības un vienlīdzības principu, vienlaikus novēršot korupciju, krāpšanu un dubulto finansējumu un, ja nepieciešams, veicot atbilstošus korekcijas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Instrukcijas projekta apakšpunktā precizēt ietvertās regulas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22.50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09.09.2024. 22.50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