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223C" w:rsidRDefault="00E8223C" w:rsidP="00E8223C">
      <w:pPr>
        <w:rPr>
          <w:rFonts w:ascii="Calibri" w:eastAsia="Times New Roman" w:hAnsi="Calibri"/>
          <w:sz w:val="22"/>
          <w:szCs w:val="22"/>
          <w:lang w:val="en-US"/>
        </w:rPr>
      </w:pPr>
      <w:r>
        <w:rPr>
          <w:rFonts w:ascii="Calibri" w:eastAsia="Times New Roman" w:hAnsi="Calibri"/>
          <w:b/>
          <w:bCs/>
          <w:sz w:val="22"/>
          <w:szCs w:val="22"/>
          <w:lang w:val="en-US"/>
        </w:rPr>
        <w:t>From:</w:t>
      </w:r>
      <w:r>
        <w:rPr>
          <w:rFonts w:ascii="Calibri" w:eastAsia="Times New Roman" w:hAnsi="Calibri"/>
          <w:sz w:val="22"/>
          <w:szCs w:val="22"/>
          <w:lang w:val="en-US"/>
        </w:rPr>
        <w:t xml:space="preserve"> knab@knab.gov.lv [mailto:knab@knab.gov.lv] </w:t>
      </w:r>
      <w:r>
        <w:rPr>
          <w:rFonts w:ascii="Calibri" w:eastAsia="Times New Roman" w:hAnsi="Calibri"/>
          <w:sz w:val="22"/>
          <w:szCs w:val="22"/>
          <w:lang w:val="en-US"/>
        </w:rPr>
        <w:br/>
      </w:r>
      <w:r>
        <w:rPr>
          <w:rFonts w:ascii="Calibri" w:eastAsia="Times New Roman" w:hAnsi="Calibri"/>
          <w:b/>
          <w:bCs/>
          <w:sz w:val="22"/>
          <w:szCs w:val="22"/>
          <w:lang w:val="en-US"/>
        </w:rPr>
        <w:t>Sent:</w:t>
      </w:r>
      <w:r>
        <w:rPr>
          <w:rFonts w:ascii="Calibri" w:eastAsia="Times New Roman" w:hAnsi="Calibri"/>
          <w:sz w:val="22"/>
          <w:szCs w:val="22"/>
          <w:lang w:val="en-US"/>
        </w:rPr>
        <w:t xml:space="preserve"> Monday, September 03, 2018 9:24 AM</w:t>
      </w:r>
      <w:r>
        <w:rPr>
          <w:rFonts w:ascii="Calibri" w:eastAsia="Times New Roman" w:hAnsi="Calibri"/>
          <w:sz w:val="22"/>
          <w:szCs w:val="22"/>
          <w:lang w:val="en-US"/>
        </w:rPr>
        <w:br/>
      </w:r>
      <w:r>
        <w:rPr>
          <w:rFonts w:ascii="Calibri" w:eastAsia="Times New Roman" w:hAnsi="Calibri"/>
          <w:b/>
          <w:bCs/>
          <w:sz w:val="22"/>
          <w:szCs w:val="22"/>
          <w:lang w:val="en-US"/>
        </w:rPr>
        <w:t>To:</w:t>
      </w:r>
      <w:r>
        <w:rPr>
          <w:rFonts w:ascii="Calibri" w:eastAsia="Times New Roman" w:hAnsi="Calibri"/>
          <w:sz w:val="22"/>
          <w:szCs w:val="22"/>
          <w:lang w:val="en-US"/>
        </w:rPr>
        <w:t xml:space="preserve"> VARAM &lt;pasts@varam.gov.lv&gt;</w:t>
      </w:r>
      <w:r>
        <w:rPr>
          <w:rFonts w:ascii="Calibri" w:eastAsia="Times New Roman" w:hAnsi="Calibri"/>
          <w:sz w:val="22"/>
          <w:szCs w:val="22"/>
          <w:lang w:val="en-US"/>
        </w:rPr>
        <w:br/>
      </w:r>
      <w:r>
        <w:rPr>
          <w:rFonts w:ascii="Calibri" w:eastAsia="Times New Roman" w:hAnsi="Calibri"/>
          <w:b/>
          <w:bCs/>
          <w:sz w:val="22"/>
          <w:szCs w:val="22"/>
          <w:lang w:val="en-US"/>
        </w:rPr>
        <w:t>Cc:</w:t>
      </w:r>
      <w:r>
        <w:rPr>
          <w:rFonts w:ascii="Calibri" w:eastAsia="Times New Roman" w:hAnsi="Calibri"/>
          <w:sz w:val="22"/>
          <w:szCs w:val="22"/>
          <w:lang w:val="en-US"/>
        </w:rPr>
        <w:t xml:space="preserve"> Edvīns Kāpostiņš &lt;Edvins.Kapostins@varam.gov.lv&gt;</w:t>
      </w:r>
      <w:r>
        <w:rPr>
          <w:rFonts w:ascii="Calibri" w:eastAsia="Times New Roman" w:hAnsi="Calibri"/>
          <w:sz w:val="22"/>
          <w:szCs w:val="22"/>
          <w:lang w:val="en-US"/>
        </w:rPr>
        <w:br/>
      </w:r>
      <w:r>
        <w:rPr>
          <w:rFonts w:ascii="Calibri" w:eastAsia="Times New Roman" w:hAnsi="Calibri"/>
          <w:b/>
          <w:bCs/>
          <w:sz w:val="22"/>
          <w:szCs w:val="22"/>
          <w:lang w:val="en-US"/>
        </w:rPr>
        <w:t>Subject:</w:t>
      </w:r>
      <w:r>
        <w:rPr>
          <w:rFonts w:ascii="Calibri" w:eastAsia="Times New Roman" w:hAnsi="Calibri"/>
          <w:sz w:val="22"/>
          <w:szCs w:val="22"/>
          <w:lang w:val="en-US"/>
        </w:rPr>
        <w:t xml:space="preserve"> Par </w:t>
      </w:r>
      <w:proofErr w:type="spellStart"/>
      <w:r>
        <w:rPr>
          <w:rFonts w:ascii="Calibri" w:eastAsia="Times New Roman" w:hAnsi="Calibri"/>
          <w:sz w:val="22"/>
          <w:szCs w:val="22"/>
          <w:lang w:val="en-US"/>
        </w:rPr>
        <w:t>noteikumu</w:t>
      </w:r>
      <w:proofErr w:type="spellEnd"/>
      <w:r>
        <w:rPr>
          <w:rFonts w:ascii="Calibri" w:eastAsia="Times New Roman" w:hAnsi="Calibri"/>
          <w:sz w:val="22"/>
          <w:szCs w:val="22"/>
          <w:lang w:val="en-US"/>
        </w:rPr>
        <w:t xml:space="preserve"> </w:t>
      </w:r>
      <w:proofErr w:type="spellStart"/>
      <w:r>
        <w:rPr>
          <w:rFonts w:ascii="Calibri" w:eastAsia="Times New Roman" w:hAnsi="Calibri"/>
          <w:sz w:val="22"/>
          <w:szCs w:val="22"/>
          <w:lang w:val="en-US"/>
        </w:rPr>
        <w:t>projektu</w:t>
      </w:r>
      <w:proofErr w:type="spellEnd"/>
      <w:r>
        <w:rPr>
          <w:rFonts w:ascii="Calibri" w:eastAsia="Times New Roman" w:hAnsi="Calibri"/>
          <w:sz w:val="22"/>
          <w:szCs w:val="22"/>
          <w:lang w:val="en-US"/>
        </w:rPr>
        <w:t xml:space="preserve"> "</w:t>
      </w:r>
      <w:proofErr w:type="spellStart"/>
      <w:r>
        <w:rPr>
          <w:rFonts w:ascii="Calibri" w:eastAsia="Times New Roman" w:hAnsi="Calibri"/>
          <w:sz w:val="22"/>
          <w:szCs w:val="22"/>
          <w:lang w:val="en-US"/>
        </w:rPr>
        <w:t>Noteikumi</w:t>
      </w:r>
      <w:proofErr w:type="spellEnd"/>
      <w:r>
        <w:rPr>
          <w:rFonts w:ascii="Calibri" w:eastAsia="Times New Roman" w:hAnsi="Calibri"/>
          <w:sz w:val="22"/>
          <w:szCs w:val="22"/>
          <w:lang w:val="en-US"/>
        </w:rPr>
        <w:t xml:space="preserve"> par </w:t>
      </w:r>
      <w:proofErr w:type="spellStart"/>
      <w:r>
        <w:rPr>
          <w:rFonts w:ascii="Calibri" w:eastAsia="Times New Roman" w:hAnsi="Calibri"/>
          <w:sz w:val="22"/>
          <w:szCs w:val="22"/>
          <w:lang w:val="en-US"/>
        </w:rPr>
        <w:t>publisko</w:t>
      </w:r>
      <w:proofErr w:type="spellEnd"/>
      <w:r>
        <w:rPr>
          <w:rFonts w:ascii="Calibri" w:eastAsia="Times New Roman" w:hAnsi="Calibri"/>
          <w:sz w:val="22"/>
          <w:szCs w:val="22"/>
          <w:lang w:val="en-US"/>
        </w:rPr>
        <w:t xml:space="preserve"> </w:t>
      </w:r>
      <w:proofErr w:type="spellStart"/>
      <w:r>
        <w:rPr>
          <w:rFonts w:ascii="Calibri" w:eastAsia="Times New Roman" w:hAnsi="Calibri"/>
          <w:sz w:val="22"/>
          <w:szCs w:val="22"/>
          <w:lang w:val="en-US"/>
        </w:rPr>
        <w:t>ūdeņu</w:t>
      </w:r>
      <w:proofErr w:type="spellEnd"/>
      <w:r>
        <w:rPr>
          <w:rFonts w:ascii="Calibri" w:eastAsia="Times New Roman" w:hAnsi="Calibri"/>
          <w:sz w:val="22"/>
          <w:szCs w:val="22"/>
          <w:lang w:val="en-US"/>
        </w:rPr>
        <w:t xml:space="preserve"> </w:t>
      </w:r>
      <w:proofErr w:type="spellStart"/>
      <w:r>
        <w:rPr>
          <w:rFonts w:ascii="Calibri" w:eastAsia="Times New Roman" w:hAnsi="Calibri"/>
          <w:sz w:val="22"/>
          <w:szCs w:val="22"/>
          <w:lang w:val="en-US"/>
        </w:rPr>
        <w:t>nomu</w:t>
      </w:r>
      <w:proofErr w:type="spellEnd"/>
      <w:r>
        <w:rPr>
          <w:rFonts w:ascii="Calibri" w:eastAsia="Times New Roman" w:hAnsi="Calibri"/>
          <w:sz w:val="22"/>
          <w:szCs w:val="22"/>
          <w:lang w:val="en-US"/>
        </w:rPr>
        <w:t>” (VSS-46) [C225791100409ED1C22582FD00230DD3]</w:t>
      </w:r>
    </w:p>
    <w:p w:rsidR="00E8223C" w:rsidRDefault="00E8223C" w:rsidP="00E8223C"/>
    <w:p w:rsidR="00E8223C" w:rsidRDefault="00E8223C" w:rsidP="00E8223C">
      <w:pPr>
        <w:pStyle w:val="NormalWeb"/>
      </w:pPr>
      <w:r>
        <w:rPr>
          <w:rFonts w:ascii="Arial" w:hAnsi="Arial" w:cs="Arial"/>
          <w:sz w:val="20"/>
          <w:szCs w:val="20"/>
        </w:rPr>
        <w:t>Labdien,</w:t>
      </w:r>
    </w:p>
    <w:p w:rsidR="00E8223C" w:rsidRDefault="00E8223C" w:rsidP="00E8223C">
      <w:pPr>
        <w:pStyle w:val="NormalWeb"/>
      </w:pPr>
      <w:r>
        <w:rPr>
          <w:i/>
          <w:iCs/>
        </w:rPr>
        <w:t>Par noteikumu projektu "Noteikumi par publisko ūdeņu nomu” (VSS-46)</w:t>
      </w:r>
      <w:r>
        <w:t xml:space="preserve"> </w:t>
      </w:r>
    </w:p>
    <w:p w:rsidR="00E8223C" w:rsidRDefault="00E8223C" w:rsidP="00E8223C">
      <w:pPr>
        <w:pStyle w:val="NormalWeb"/>
        <w:jc w:val="both"/>
      </w:pPr>
      <w:r>
        <w:t>Korupcijas novēršanas un apkarošanas birojs (turpmāk – Birojs) savas kompetences ietvaros ir izvērtējis Vides aizsardzības un reģionālās attīstības ministrijas precizēto noteikumu projektu “Noteikumi par publisko ūdeņu nomu” (turpm</w:t>
      </w:r>
      <w:bookmarkStart w:id="0" w:name="_GoBack"/>
      <w:bookmarkEnd w:id="0"/>
      <w:r>
        <w:t xml:space="preserve">āk – noteikumu projekts), tā sākotnējās ietekmes novērtējuma ziņojumu (turpmāk – anotācija) un izziņu par atzinumos sniegtajiem iebildumiem, Ministru kabineta </w:t>
      </w:r>
      <w:proofErr w:type="spellStart"/>
      <w:r>
        <w:t>protokollēmuma</w:t>
      </w:r>
      <w:proofErr w:type="spellEnd"/>
      <w:r>
        <w:t xml:space="preserve"> projektu un informē, ka atbalsta noteikumu projekta tālāku virzību, vienlaikus uzturot izziņā par atzinumos sniegtajiem iebildumiem 46.punktā izteikto Biroja iebildumu un papildus izsakot šādus iebildumus: </w:t>
      </w:r>
    </w:p>
    <w:p w:rsidR="00E8223C" w:rsidRDefault="00E8223C" w:rsidP="00E8223C">
      <w:pPr>
        <w:pStyle w:val="NormalWeb"/>
        <w:jc w:val="both"/>
      </w:pPr>
      <w:r>
        <w:t>1. Vēršam uzmanību, ka Biroja iebilduma mērķis ir noteikt aizliegumu līdzējiem pēc līguma noslēgšanas izdarīt būtiskus grozījumus līgumā, kas iepriekš nav tikuši noteikti. Birojs atkārtoti norāda, ka nomas līgums var tikt pārskatīts tikai tādos gadījumos, ja līguma pārskatīšanas iespēja noteikta līguma nosacījumos. Tādējādi, Biroja ieskatā, būtu papildināms noteikumu projekta 12.punkts ar prasību iekļaut nomas līguma projektā līguma grozīšanas kārtību un kārtību kādā pieļaujama atkāpšanās no līguma. Biroja ieskatā atbilstošākais risinājums būtu jau sākotnēji publicēt līguma projektu gan gadījumos, kad tiek rīkota izsole, gan gadījumos, kad tiek rīkots konkurss, tajā iekļaujot līguma grozīšanas kārtību, kārtību</w:t>
      </w:r>
      <w:proofErr w:type="gramStart"/>
      <w:r>
        <w:t xml:space="preserve"> kādā pieļaujama atkāpšanās no līguma</w:t>
      </w:r>
      <w:proofErr w:type="gramEnd"/>
      <w:r>
        <w:t xml:space="preserve">, un nomas objekta iznomāšanas termiņu. Tādējādi pretendentiem radot iespēju iepazīties ar nomas līguma projektu, līdzīgi kā tas paredzēts Ministru kabineta </w:t>
      </w:r>
      <w:proofErr w:type="gramStart"/>
      <w:r>
        <w:t>2018.gada</w:t>
      </w:r>
      <w:proofErr w:type="gramEnd"/>
      <w:r>
        <w:t xml:space="preserve"> 19.jūnija noteikumu Nr.350" Publiskas personas zemes nomas un apbūves tiesības noteikumi" 33.10.apakšpunktā. Vienlaikus norādām, ka šobrīd noteikumu projektā esošās tiesību normas tiek dublētas, proti, papildus noteikumu projekta 30.9.apakšpunktā minētajam, arī noteikumu projekta 42.punkta otrajā teikumā noteikts, ka pusēm vienojoties, līgums var tikt pārskatīts. Publiskas personas mantas izšķērdēšanas novēršanas likums paredz nosacījumus tikai attiecībā uz nomas maksas pārskatīšanu, tāpēc aicinām vērtēt šādas likuma atsauces nepieciešamību noteikumu projekta 30.9.apakšpunktā. Ņemot vērā minēto, lūdzam: </w:t>
      </w:r>
    </w:p>
    <w:p w:rsidR="00E8223C" w:rsidRDefault="00E8223C" w:rsidP="00E8223C">
      <w:pPr>
        <w:pStyle w:val="NormalWeb"/>
        <w:jc w:val="both"/>
      </w:pPr>
      <w:r>
        <w:t xml:space="preserve">1.1. noteikumu projekta 12.10.apakšpunktu izteikt šādā redakcijā: "līguma projektu ar līguma grozīšanas kārtību, kārtību kādā pieļaujama atkāpšanās no līguma, un nomas objekta iznomāšanas termiņu"; </w:t>
      </w:r>
    </w:p>
    <w:p w:rsidR="00E8223C" w:rsidRDefault="00E8223C" w:rsidP="00E8223C">
      <w:pPr>
        <w:pStyle w:val="NormalWeb"/>
        <w:jc w:val="both"/>
      </w:pPr>
      <w:r>
        <w:t xml:space="preserve">1.2. noteikumu projekta 20.6.apakšpunktu izteikt šādā redakcijā: "līguma projektu ar līguma grozīšanas kārtību, kārtību kādā pieļaujama atkāpšanās no līguma, un nomas objekta iznomāšanas termiņu"; </w:t>
      </w:r>
    </w:p>
    <w:p w:rsidR="00E8223C" w:rsidRDefault="00E8223C" w:rsidP="00E8223C">
      <w:pPr>
        <w:pStyle w:val="NormalWeb"/>
      </w:pPr>
      <w:r>
        <w:t xml:space="preserve">1.3. svītrot noteikumu projekta 42.punkta otro teikumu. </w:t>
      </w:r>
    </w:p>
    <w:p w:rsidR="00E8223C" w:rsidRDefault="00E8223C" w:rsidP="00E8223C">
      <w:pPr>
        <w:pStyle w:val="NormalWeb"/>
        <w:jc w:val="both"/>
      </w:pPr>
      <w:r>
        <w:lastRenderedPageBreak/>
        <w:t xml:space="preserve">2. Noteikumu projekta 24.punktā noteikti kritēriji attiecībā uz nomnieka līdzšinējo rīcību, kuriem pastāvot iznomātājs var atteikties slēgt nomas līgumu ar personu. Birojs lūdz minētos kritērijus ierobežot laikā, piemēram, nosakot, ka nomas līgumu neslēdz ar personu, kurai pēdējā gada laikā ir nenokārtotas parādsaistības ar iznomātāju, konstatēti pārkāpumi pret vidi, nomas attiecībās nav ievērotas līgumsaistības un normatīvo aktu prasības. </w:t>
      </w:r>
    </w:p>
    <w:p w:rsidR="00E8223C" w:rsidRDefault="00E8223C" w:rsidP="00E8223C">
      <w:pPr>
        <w:pStyle w:val="NormalWeb"/>
        <w:jc w:val="both"/>
      </w:pPr>
      <w:r>
        <w:t xml:space="preserve">3. Lūdzam papildināt noteikumu 35. un 43.punktu, nosakot minimālo informācijas apjomu, kas iznomātājam jāpublicē tā tīmekļvietnē par noslēgtajiem nomas līgumiem, tādējādi nodrošinot iznomātāju vienveidīgu praksi atklātības principa ievērošanā. </w:t>
      </w:r>
    </w:p>
    <w:p w:rsidR="00E8223C" w:rsidRDefault="00E8223C" w:rsidP="00E8223C">
      <w:pPr>
        <w:pStyle w:val="NormalWeb"/>
        <w:jc w:val="both"/>
      </w:pPr>
      <w:r>
        <w:t xml:space="preserve">4. Lūdzam papildināt noteikumu projekta 11.punktu, nosakot minimālo konkursa vērtēšanas komisijas locekļu skaitu, kas nav mazāks par trim, un izteikt noteikumu projekta 11.punktu šādā redakcijā: "Iznomātājs apstiprina izsoles kārtību vai konkursa nolikumu un konkursa vērtēšanas komisiju ne mazāk kā trīs locekļu sastāvā." </w:t>
      </w:r>
    </w:p>
    <w:p w:rsidR="00B13F2C" w:rsidRDefault="00E8223C" w:rsidP="00E8223C">
      <w:r>
        <w:rPr>
          <w:rFonts w:eastAsia="Times New Roman"/>
        </w:rPr>
        <w:br/>
      </w:r>
      <w:r>
        <w:rPr>
          <w:rFonts w:ascii="Arial" w:eastAsia="Times New Roman" w:hAnsi="Arial" w:cs="Arial"/>
          <w:sz w:val="20"/>
          <w:szCs w:val="20"/>
        </w:rPr>
        <w:t>Ar cieņu</w:t>
      </w:r>
      <w:r>
        <w:rPr>
          <w:rFonts w:eastAsia="Times New Roman"/>
        </w:rPr>
        <w:br/>
      </w:r>
      <w:r>
        <w:rPr>
          <w:rFonts w:eastAsia="Times New Roman"/>
        </w:rPr>
        <w:br/>
      </w:r>
      <w:r>
        <w:rPr>
          <w:rFonts w:ascii="Arial" w:eastAsia="Times New Roman" w:hAnsi="Arial" w:cs="Arial"/>
          <w:b/>
          <w:bCs/>
          <w:sz w:val="20"/>
          <w:szCs w:val="20"/>
        </w:rPr>
        <w:t>Diāna Stepiņa</w:t>
      </w:r>
      <w:r>
        <w:rPr>
          <w:rFonts w:eastAsia="Times New Roman"/>
        </w:rPr>
        <w:br/>
      </w:r>
      <w:r>
        <w:rPr>
          <w:rFonts w:ascii="Arial" w:eastAsia="Times New Roman" w:hAnsi="Arial" w:cs="Arial"/>
          <w:sz w:val="20"/>
          <w:szCs w:val="20"/>
        </w:rPr>
        <w:t>Korupcijas novēršanas un apkarošanas biroja</w:t>
      </w:r>
      <w:r>
        <w:rPr>
          <w:rFonts w:eastAsia="Times New Roman"/>
        </w:rPr>
        <w:br/>
      </w:r>
      <w:r>
        <w:rPr>
          <w:rFonts w:ascii="Arial" w:eastAsia="Times New Roman" w:hAnsi="Arial" w:cs="Arial"/>
          <w:sz w:val="20"/>
          <w:szCs w:val="20"/>
        </w:rPr>
        <w:t>Stratēģiskās analīzes un politikas plānošanas nodaļas galvenā speciāliste</w:t>
      </w:r>
      <w:r>
        <w:rPr>
          <w:rFonts w:eastAsia="Times New Roman"/>
        </w:rPr>
        <w:br/>
      </w:r>
      <w:r>
        <w:rPr>
          <w:rFonts w:ascii="Arial" w:eastAsia="Times New Roman" w:hAnsi="Arial" w:cs="Arial"/>
          <w:sz w:val="20"/>
          <w:szCs w:val="20"/>
        </w:rPr>
        <w:t>Tālr. 67797257</w:t>
      </w:r>
      <w:r>
        <w:rPr>
          <w:rFonts w:eastAsia="Times New Roman"/>
        </w:rPr>
        <w:br/>
      </w:r>
      <w:hyperlink r:id="rId4" w:history="1">
        <w:r>
          <w:rPr>
            <w:rStyle w:val="Hyperlink"/>
            <w:rFonts w:ascii="Arial" w:eastAsia="Times New Roman" w:hAnsi="Arial" w:cs="Arial"/>
            <w:sz w:val="20"/>
            <w:szCs w:val="20"/>
          </w:rPr>
          <w:t>Diana.Stepina@knab.gov.lv</w:t>
        </w:r>
      </w:hyperlink>
      <w:r>
        <w:rPr>
          <w:rFonts w:eastAsia="Times New Roman"/>
        </w:rPr>
        <w:br/>
      </w:r>
      <w:hyperlink r:id="rId5" w:history="1">
        <w:r>
          <w:rPr>
            <w:rStyle w:val="Hyperlink"/>
            <w:rFonts w:ascii="Arial" w:eastAsia="Times New Roman" w:hAnsi="Arial" w:cs="Arial"/>
            <w:sz w:val="20"/>
            <w:szCs w:val="20"/>
          </w:rPr>
          <w:t>www.knab.gov.lv</w:t>
        </w:r>
      </w:hyperlink>
      <w:r>
        <w:rPr>
          <w:rFonts w:eastAsia="Times New Roman"/>
        </w:rPr>
        <w:br/>
      </w:r>
      <w:r>
        <w:rPr>
          <w:rFonts w:eastAsia="Times New Roman"/>
          <w:noProof/>
        </w:rPr>
        <w:drawing>
          <wp:inline distT="0" distB="0" distL="0" distR="0">
            <wp:extent cx="1598295" cy="1837055"/>
            <wp:effectExtent l="0" t="0" r="1905" b="0"/>
            <wp:docPr id="1" name="Picture 1" descr="cid:0__=4DBB086EDFB0A2358f9e8a93df93@KNAB.GOV.L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0__=4DBB086EDFB0A2358f9e8a93df93@KNAB.GOV.LV"/>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598295" cy="1837055"/>
                    </a:xfrm>
                    <a:prstGeom prst="rect">
                      <a:avLst/>
                    </a:prstGeom>
                    <a:noFill/>
                    <a:ln>
                      <a:noFill/>
                    </a:ln>
                  </pic:spPr>
                </pic:pic>
              </a:graphicData>
            </a:graphic>
          </wp:inline>
        </w:drawing>
      </w:r>
      <w:r>
        <w:rPr>
          <w:rFonts w:eastAsia="Times New Roman"/>
        </w:rPr>
        <w:br/>
      </w:r>
    </w:p>
    <w:sectPr w:rsidR="00B13F2C">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AFF" w:usb1="C0007841" w:usb2="00000009" w:usb3="00000000" w:csb0="000001FF" w:csb1="00000000"/>
  </w:font>
  <w:font w:name="Arial">
    <w:panose1 w:val="020B0604020202020204"/>
    <w:charset w:val="BA"/>
    <w:family w:val="swiss"/>
    <w:pitch w:val="variable"/>
    <w:sig w:usb0="E0002A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223C"/>
    <w:rsid w:val="00B13F2C"/>
    <w:rsid w:val="00E8223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B6E54F4-9974-46C8-AC2F-A3F61A6ED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223C"/>
    <w:pPr>
      <w:spacing w:after="0" w:line="240" w:lineRule="auto"/>
    </w:pPr>
    <w:rPr>
      <w:rFonts w:ascii="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8223C"/>
    <w:rPr>
      <w:color w:val="0000FF"/>
      <w:u w:val="single"/>
    </w:rPr>
  </w:style>
  <w:style w:type="paragraph" w:styleId="NormalWeb">
    <w:name w:val="Normal (Web)"/>
    <w:basedOn w:val="Normal"/>
    <w:uiPriority w:val="99"/>
    <w:semiHidden/>
    <w:unhideWhenUsed/>
    <w:rsid w:val="00E8223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5971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cid:0__=4DBB086EDFB0A2358f9e8a93df93@KNAB.GOV.LV"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gif"/><Relationship Id="rId5" Type="http://schemas.openxmlformats.org/officeDocument/2006/relationships/hyperlink" Target="http://www.knab.gov.lv" TargetMode="External"/><Relationship Id="rId4" Type="http://schemas.openxmlformats.org/officeDocument/2006/relationships/hyperlink" Target="mailto:Diana.Stepina@knab.gov.lv"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2721</Words>
  <Characters>1551</Characters>
  <Application>Microsoft Office Word</Application>
  <DocSecurity>0</DocSecurity>
  <Lines>12</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Tapiņa</dc:creator>
  <cp:keywords/>
  <dc:description/>
  <cp:lastModifiedBy>Inga Tapiņa</cp:lastModifiedBy>
  <cp:revision>1</cp:revision>
  <dcterms:created xsi:type="dcterms:W3CDTF">2019-01-15T12:45:00Z</dcterms:created>
  <dcterms:modified xsi:type="dcterms:W3CDTF">2019-01-15T12:47:00Z</dcterms:modified>
</cp:coreProperties>
</file>