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dzelzceļa infrastruktūras attīstības plāns 2023.g. – 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Indikatīvā dzelzceļa infrasturuktūras plāna 2023-2027.gadam sadaļu “Kvalitatīva dzīves vide” (55 lpp) ar apņemšanos veicot darbus esošos objektos, īpaši tādos, kuriem piešķirts valsts aizsargājama kultūras pieminekļa statuss, ievērot  Astoņus kritērijus augstvērtīgai būvkultūrai un Eiropas kvalitātes principus, ko piemēro ES finansētiem pasākumiem, kuri var ietekmēt kultūras mantojumu, tādejādi nodrošinot dzelzceļa kā kvalitatīvas publiskās telpas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https://www.nkmp.gov.lv/lv/jaunums/astoni-kriteriji-augstvertigai-buvkulturai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Vivita Vīksna-Bārbale (NKMP)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06.09.2023.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06.09.2023.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