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"Tūrisma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par likumprojekta 3. pantā, ar kuru paredzēts Tūrisma likuma 6.</w:t>
            </w:r>
            <w:r w:rsidR="00000000" w:rsidRPr="00000000" w:rsidDel="00000000">
              <w:rPr>
                <w:vertAlign w:val="superscript"/>
                <w:rtl w:val="0"/>
              </w:rPr>
              <w:t xml:space="preserve">1</w:t>
            </w:r>
            <w:r w:rsidR="00000000" w:rsidRPr="00000000" w:rsidDel="00000000">
              <w:rPr>
                <w:rtl w:val="0"/>
              </w:rPr>
              <w:t xml:space="preserve"> pantu izteikt jaunā redakcijā, ietverto regulējumu citastarp ietverts šāds skaidrojums: "Lai nodrošinātu nepieciešamo uzraudzību, nodrošinot datu uzticamību un kūrortu priekšrocību saglabāšanos, pašvaldībai ir pienākums 10 darba dienu laikā  precizēt vai dzēst tīmekļvietnē publicēto informāciju par teritorijas kūrorta statusu pēc Ekonomikas ministrijas, Veselības ministrijas, Viedās administrācijas un reģionālās attīstības ministrijas vai Klimata un enerģētikas ministrijas, ja tās ir konstatējušas nepilnības vai neatbilstību likumprojektā noteiktajam (tostarp – ja tiek saņemta atbilstoša informācija no uzraudzības iestādēm vai sabiedrības)." Vēršam uzmanību, ka minētais viennozīmīgi neizriet no jaunā redakcijā izteiktā likuma 6.</w:t>
            </w:r>
            <w:r w:rsidR="00000000" w:rsidRPr="00000000" w:rsidDel="00000000">
              <w:rPr>
                <w:vertAlign w:val="superscript"/>
                <w:rtl w:val="0"/>
              </w:rPr>
              <w:t xml:space="preserve">1</w:t>
            </w:r>
            <w:r w:rsidR="00000000" w:rsidRPr="00000000" w:rsidDel="00000000">
              <w:rPr>
                <w:rtl w:val="0"/>
              </w:rPr>
              <w:t xml:space="preserve"> panta trešās daļas, kas paredz, ka pienākums precizēt vai dzēst publicēto informāciju ir gadījumā, ja rakstveidā ir saņemta informācija, ka publicētā informācija ir nepilnīga vai nepatiesa, bet ne arī gadījumā, ja informācija ir neatbilstoša likumā noteiktajam. Papildus, ja kūrorta statusu paredzēts noteikt teritorijas attīstības plānojumā v.tml., aicinām izvērtēt, vai ar informācijas dzēšanu vai precizēšanu pašvaldības tīmekļvietnē ir pietiekami. Ja nepieciešams, aicinām precizēt vai papildināt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izvērstāk skaidrot, kādas ir attiecīgo uzraudzības iestāžu uzraudzības pilnvaras gadījumā, ja kūrorta statusa noteikšana neatbilst likumam. Citastarp aicinām izvērtēt, vai nav nepieciešams regulējums par kūrorta statusa atcelšanu (salīdzinājumam sk. pašreiz spēkā esošo Tūrisma likuma 6.1 panta sesto daļu). Ja nepieciešams, aicinām papildināt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izmaiņas likumprojekta vienību numerācijā, aicinām pārskatīt un precizēt anotācijas 5.5. apakšsadaļas 2. 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24-TA-1353</w:t>
    </w:r>
    <w:r>
      <w:br/>
    </w:r>
    <w:r w:rsidR="00000000" w:rsidRPr="00000000" w:rsidDel="00000000">
      <w:rPr>
        <w:rtl w:val="0"/>
      </w:rPr>
      <w:t xml:space="preserve">Izdrukāts 22.05.2025. 18.27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24-TA-1353</w:t>
    </w:r>
    <w:r>
      <w:br/>
    </w:r>
    <w:r w:rsidR="00000000" w:rsidRPr="00000000" w:rsidDel="00000000">
      <w:rPr>
        <w:rtl w:val="0"/>
      </w:rPr>
      <w:t xml:space="preserve">Izdrukāts 22.05.2025. 18.27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Atzinumi_24-TA-1353.docx</dc:title>
</cp:coreProperties>
</file>

<file path=docProps/custom.xml><?xml version="1.0" encoding="utf-8"?>
<Properties xmlns="http://schemas.openxmlformats.org/officeDocument/2006/custom-properties" xmlns:vt="http://schemas.openxmlformats.org/officeDocument/2006/docPropsVTypes"/>
</file>