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24-TA-769: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Ministrija ir tieši pakļauta dabas aizsardzības un reģionālās attīstības ministram (turpmāk – ministrs).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precizēt normu, norādot, ka ministrija ir tieši pakļauta </w:t>
            </w:r>
            <w:r w:rsidR="00000000" w:rsidRPr="00000000" w:rsidDel="00000000">
              <w:rPr>
                <w:u w:val="single"/>
                <w:rtl w:val="0"/>
              </w:rPr>
              <w:t xml:space="preserve">viedās administrācijas</w:t>
            </w:r>
            <w:r w:rsidR="00000000" w:rsidRPr="00000000" w:rsidDel="00000000">
              <w:rPr>
                <w:rtl w:val="0"/>
              </w:rPr>
              <w:t xml:space="preserve"> un reģionālās attīstības ministram.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Pērkone-Kadeģe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24-TA-769</w:t>
    </w:r>
    <w:r>
      <w:br/>
    </w:r>
    <w:r w:rsidR="00000000" w:rsidRPr="00000000" w:rsidDel="00000000">
      <w:rPr>
        <w:rtl w:val="0"/>
      </w:rPr>
      <w:t xml:space="preserve">Izdrukāts 20.06.2024. 15.03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24-TA-769</w:t>
    </w:r>
    <w:r>
      <w:br/>
    </w:r>
    <w:r w:rsidR="00000000" w:rsidRPr="00000000" w:rsidDel="00000000">
      <w:rPr>
        <w:rtl w:val="0"/>
      </w:rPr>
      <w:t xml:space="preserve">Izdrukāts 20.06.2024. 15.03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