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tehniskās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vietas īpašnieks vai valdītājs nodrošina defibrilatora iegādi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pienākumu iegādāties konkrētas medicīniskas iekārtas, taču neparedz tam ne valsts budžeta, ne ES fondu finansējumu. Atkārtoti aicinām tādu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Pašvaldību likuma 4.pants nosaka, ka viena no autonomām funkcijām ir 6) gādāt par iedzīvotāju veselību — īstenot veselīga dzīvesveida veicināšanas pasākumus un organizēt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Autonomo funkciju izpildi atbilstoši savai kompetencei organizē un par to atbild pašvaldība. Savukārt,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normatīvajos aktos noteiktajam atkārtoti lūdzam aizpildīt sadaļu un norādīt ietekmi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21.12.2023.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21.12.2023.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