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Administratīvā pārkāpuma procesu par šā likuma 53. pantā (izņemot tā piektajā un sestajā daļā paredzētos pārkāpumus), 54. pantā, 55. panta pirmajā, otrajā, astotajā, devītajā un desmitajā daļā, 56., 57., 57.</w:t>
            </w:r>
            <w:r w:rsidR="00000000" w:rsidRPr="00000000" w:rsidDel="00000000">
              <w:rPr>
                <w:vertAlign w:val="superscript"/>
                <w:rtl w:val="0"/>
              </w:rPr>
              <w:t xml:space="preserve">1</w:t>
            </w:r>
            <w:r w:rsidR="00000000" w:rsidRPr="00000000" w:rsidDel="00000000">
              <w:rPr>
                <w:rtl w:val="0"/>
              </w:rPr>
              <w:t xml:space="preserve"> un 58. pantā minētajiem pārkāpumiem veic pašvaldības transporta kontroles dienests.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Administratīvā pārkāpuma procesu par šā likuma 57.pantā un 57.</w:t>
            </w:r>
            <w:r w:rsidR="00000000" w:rsidRPr="00000000" w:rsidDel="00000000">
              <w:rPr>
                <w:vertAlign w:val="superscript"/>
                <w:rtl w:val="0"/>
              </w:rPr>
              <w:t xml:space="preserve">1</w:t>
            </w:r>
            <w:r w:rsidR="00000000" w:rsidRPr="00000000" w:rsidDel="00000000">
              <w:rPr>
                <w:rtl w:val="0"/>
              </w:rPr>
              <w:t xml:space="preserve"> pantā minētajiem pārkāpumiem veic pašvaldības policija, ja šajā pašvaldībā nav izveidots pašvaldības transporta kontroles dienests. Administratīvā pārkāpuma lietu izskata pašvaldības administratīvā komisija vai apakškomisija.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Administratīvā pārkāpuma procesu par šā likuma 53., 54., 55., 56., 57., 58. pantā, 58.</w:t>
            </w:r>
            <w:r w:rsidR="00000000" w:rsidRPr="00000000" w:rsidDel="00000000">
              <w:rPr>
                <w:vertAlign w:val="superscript"/>
                <w:rtl w:val="0"/>
              </w:rPr>
              <w:t xml:space="preserve">1 </w:t>
            </w:r>
            <w:r w:rsidR="00000000" w:rsidRPr="00000000" w:rsidDel="00000000">
              <w:rPr>
                <w:rtl w:val="0"/>
              </w:rPr>
              <w:t xml:space="preserve">no pirmās līdz septītajai daļā   minētajiem pārkāpumiem veic Valsts policija."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60.panta ceturtā daļa paredz, ka Administratīvā pārkāpuma procesu par šā likuma 57.pantā un 57.</w:t>
            </w:r>
            <w:r w:rsidR="00000000" w:rsidRPr="00000000" w:rsidDel="00000000">
              <w:rPr>
                <w:vertAlign w:val="superscript"/>
                <w:rtl w:val="0"/>
              </w:rPr>
              <w:t xml:space="preserve">1</w:t>
            </w:r>
            <w:r w:rsidR="00000000" w:rsidRPr="00000000" w:rsidDel="00000000">
              <w:rPr>
                <w:rtl w:val="0"/>
              </w:rPr>
              <w:t xml:space="preserve">pantā minētajiem pārkāpumiem veic pašvaldības policija, ja šajā pašvaldībā nav izveidots pašvaldības transporta kontroles dienests. Vēršam uzmanību, ka atbilstoši Pašvaldību likuma pārejas noteikumu 2.punkta regulējumam pašvaldībām noteiktais pienākums izveidot un finansēt pašvaldības policiju stājas spēkā 2024.gada 1.janvārī. Līdz ar to nepieciešams izvērtēt, vai arī likumprojektā piedāvātajam 60.panta ceturtās daļas regulējumam nav nosakāms atliktais spēkā stāšanās laiks, proti, 2024.gada 1.janvāris.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vairs nesatur 58.</w:t>
            </w:r>
            <w:r w:rsidR="00000000" w:rsidRPr="00000000" w:rsidDel="00000000">
              <w:rPr>
                <w:vertAlign w:val="superscript"/>
                <w:rtl w:val="0"/>
              </w:rPr>
              <w:t xml:space="preserve">2 </w:t>
            </w:r>
            <w:r w:rsidR="00000000" w:rsidRPr="00000000" w:rsidDel="00000000">
              <w:rPr>
                <w:rtl w:val="0"/>
              </w:rPr>
              <w:t xml:space="preserve">pantu attiecībā uz Eiropas Parlamenta un Padomes Regulas (EK) Nr.593/2008 (Roma I) pārkāpums par līgumsaistībām piemērojamo tiesību aktu pārkāpumu. Vienlaikus projekta sākotnējās ietekmes novērtējuma ziņojumā (anotācijā) joprojām ir atsauce uz minētās regulas īstenošanu ar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Iekšlietu ministrijas iepriekš paustais iebildums attiecībā uz minētās regulas īstenošanu ar likumprojektu ir ņemts vērā, lūdzam atbilstoši precizēt projekta sākotnējās ietekmes novērtējuma ziņojumu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26.04.2023. 21.17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26.04.2023. 21.17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