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03FAC" w14:textId="20FDA765" w:rsidR="00E24FA3" w:rsidRDefault="000B516F" w:rsidP="000B516F">
      <w:pPr>
        <w:jc w:val="both"/>
        <w:rPr>
          <w:rFonts w:ascii="Times New Roman" w:hAnsi="Times New Roman" w:cs="Times New Roman"/>
          <w:sz w:val="28"/>
          <w:szCs w:val="28"/>
        </w:rPr>
      </w:pPr>
      <w:r w:rsidRPr="00CE28D4">
        <w:rPr>
          <w:rFonts w:ascii="Times New Roman" w:hAnsi="Times New Roman" w:cs="Times New Roman"/>
          <w:sz w:val="28"/>
          <w:szCs w:val="28"/>
        </w:rPr>
        <w:t xml:space="preserve">Vides </w:t>
      </w:r>
      <w:r>
        <w:rPr>
          <w:rFonts w:ascii="Times New Roman" w:hAnsi="Times New Roman" w:cs="Times New Roman"/>
          <w:sz w:val="28"/>
          <w:szCs w:val="28"/>
        </w:rPr>
        <w:t>aizsardzības un reģionālās attīstības ministrija, atbildot uz biedrības “</w:t>
      </w:r>
      <w:r w:rsidRPr="000B516F">
        <w:rPr>
          <w:rFonts w:ascii="Times New Roman" w:hAnsi="Times New Roman" w:cs="Times New Roman"/>
          <w:sz w:val="28"/>
          <w:szCs w:val="28"/>
        </w:rPr>
        <w:t>Baltijas ogļūdeņražu izpētes un ieguves asociācija</w:t>
      </w:r>
      <w:r>
        <w:rPr>
          <w:rFonts w:ascii="Times New Roman" w:hAnsi="Times New Roman" w:cs="Times New Roman"/>
          <w:sz w:val="28"/>
          <w:szCs w:val="28"/>
        </w:rPr>
        <w:t>” 2023. gada 25. janvāra atzinumu (dokumenta Nr. 02-23/N), sniedz sekojošu viedokli:</w:t>
      </w:r>
    </w:p>
    <w:p w14:paraId="1BEADBC3" w14:textId="33D574EA" w:rsidR="000B516F" w:rsidRPr="007C26A9" w:rsidRDefault="00EB7384" w:rsidP="007C26A9">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Attiecībā uz priekšlikumu par ogļūdeņražu </w:t>
      </w:r>
      <w:r w:rsidR="007C26A9">
        <w:rPr>
          <w:rFonts w:ascii="Times New Roman" w:hAnsi="Times New Roman" w:cs="Times New Roman"/>
          <w:sz w:val="28"/>
          <w:szCs w:val="28"/>
        </w:rPr>
        <w:t xml:space="preserve">ieguves </w:t>
      </w:r>
      <w:r>
        <w:rPr>
          <w:rFonts w:ascii="Times New Roman" w:hAnsi="Times New Roman" w:cs="Times New Roman"/>
          <w:sz w:val="28"/>
          <w:szCs w:val="28"/>
        </w:rPr>
        <w:t>definīcijas precizēšanu, norādām, ka nav skaidra priekšlikuma būtība un grozījumu nepieciešamības pamatojums. Izvērtējot priekšlikumu, šķiet, ka piedāvātais termina “ogļūdeņražu ieguve” skaidrojums pēc būtības neatšķiras no šobrīd likumā “Par zemes dzīlēm” ietvertā termina “derīgo izrakteņu ieguve” skaidrojuma. Abu terminu skaidrojumi noteiktu to, ka derīgo izrakteņu (ogļūdeņražu gadījumā – ogļūdeņražu) ieguve ir to atdalīšana no to dabiskās vides (ogļūdeņražu gadījumā – no zemes apakšslāņiem). Attiecīgi priekšlikums netiek ņemts vērā.</w:t>
      </w:r>
      <w:r w:rsidR="007C26A9">
        <w:rPr>
          <w:rFonts w:ascii="Times New Roman" w:hAnsi="Times New Roman" w:cs="Times New Roman"/>
          <w:sz w:val="28"/>
          <w:szCs w:val="28"/>
        </w:rPr>
        <w:t xml:space="preserve"> Ja piedāvājums ir izslēgt minēto definīciju no likuma “Par zemes dzīlēm”, nepieciešams iesniegt šādu viedokli, pamatotu ar apsvērumiem.</w:t>
      </w:r>
    </w:p>
    <w:p w14:paraId="721EAD2E" w14:textId="77777777" w:rsidR="002F67BF" w:rsidRDefault="002F67BF" w:rsidP="002F67BF">
      <w:pPr>
        <w:pStyle w:val="ListParagraph"/>
        <w:jc w:val="both"/>
        <w:rPr>
          <w:rFonts w:ascii="Times New Roman" w:hAnsi="Times New Roman" w:cs="Times New Roman"/>
          <w:sz w:val="28"/>
          <w:szCs w:val="28"/>
        </w:rPr>
      </w:pPr>
    </w:p>
    <w:p w14:paraId="10D24C7D" w14:textId="6C5032D6" w:rsidR="002F67BF" w:rsidRDefault="00757D29" w:rsidP="00757D29">
      <w:pPr>
        <w:pStyle w:val="ListParagraph"/>
        <w:numPr>
          <w:ilvl w:val="0"/>
          <w:numId w:val="4"/>
        </w:numPr>
        <w:spacing w:after="0"/>
        <w:jc w:val="both"/>
        <w:rPr>
          <w:rFonts w:ascii="Times New Roman" w:hAnsi="Times New Roman" w:cs="Times New Roman"/>
          <w:sz w:val="28"/>
          <w:szCs w:val="28"/>
        </w:rPr>
      </w:pPr>
      <w:r>
        <w:rPr>
          <w:rFonts w:ascii="Times New Roman" w:hAnsi="Times New Roman" w:cs="Times New Roman"/>
          <w:sz w:val="28"/>
          <w:szCs w:val="28"/>
        </w:rPr>
        <w:t>Lūdzam skatīt precizēto likuma “Par zemes dzīlēm” 4. panta ceturtās daļas redakciju un papildināto anotāciju.</w:t>
      </w:r>
    </w:p>
    <w:p w14:paraId="3795F47E" w14:textId="77777777" w:rsidR="00757D29" w:rsidRPr="00757D29" w:rsidRDefault="00757D29" w:rsidP="00757D29">
      <w:pPr>
        <w:spacing w:after="0"/>
        <w:jc w:val="both"/>
        <w:rPr>
          <w:rFonts w:ascii="Times New Roman" w:hAnsi="Times New Roman" w:cs="Times New Roman"/>
          <w:sz w:val="28"/>
          <w:szCs w:val="28"/>
        </w:rPr>
      </w:pPr>
    </w:p>
    <w:p w14:paraId="57206EC2" w14:textId="4E65104F" w:rsidR="00833BAC" w:rsidRDefault="00833BAC" w:rsidP="007C26A9">
      <w:pPr>
        <w:pStyle w:val="ListParagraph"/>
        <w:numPr>
          <w:ilvl w:val="0"/>
          <w:numId w:val="4"/>
        </w:numPr>
        <w:jc w:val="both"/>
        <w:rPr>
          <w:rFonts w:ascii="Times New Roman" w:hAnsi="Times New Roman" w:cs="Times New Roman"/>
          <w:sz w:val="28"/>
          <w:szCs w:val="28"/>
        </w:rPr>
      </w:pPr>
      <w:r w:rsidRPr="00833BAC">
        <w:rPr>
          <w:rFonts w:ascii="Times New Roman" w:hAnsi="Times New Roman" w:cs="Times New Roman"/>
          <w:sz w:val="28"/>
          <w:szCs w:val="28"/>
        </w:rPr>
        <w:t>Attiecībā uz likumprojektā ietvertajiem grozījumiem likuma “Par zemes dzīlēm” 8. panta pirmās daļas 3. punktā, norādām, ka termins “pilnvarota persona” izriet no likuma “Par zemes dzīlēm” 3. panta otrās daļas, kas noteic īpašuma tiesības. Termins “pilnvarota persona” tiek izmantots viscaur likumā “Par zemes dzīlēm”, kā arī no tā izrietošajos normatīvajos aktos un no citiem likumiem izrietošos normatīvajos aktos, piemēram, Ministru kabineta 2011. gada 27. decembra noteikumos Nr. 1019 “Zemes kadastrālās uzmērīšanas noteikumi”, kas izdoti tai skaitā uz Nekustamā īpašuma valsts kadastra likuma pamata.</w:t>
      </w:r>
    </w:p>
    <w:p w14:paraId="162F845D" w14:textId="77777777" w:rsidR="002F67BF" w:rsidRPr="00833BAC" w:rsidRDefault="002F67BF" w:rsidP="002F67BF">
      <w:pPr>
        <w:pStyle w:val="ListParagraph"/>
        <w:jc w:val="both"/>
        <w:rPr>
          <w:rFonts w:ascii="Times New Roman" w:hAnsi="Times New Roman" w:cs="Times New Roman"/>
          <w:sz w:val="28"/>
          <w:szCs w:val="28"/>
        </w:rPr>
      </w:pPr>
    </w:p>
    <w:p w14:paraId="1114BA95" w14:textId="533C175D" w:rsidR="00833BAC" w:rsidRDefault="00833BAC" w:rsidP="007C26A9">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Attiecībā uz priekšlikumu par likumprojekta pirmās daļas 3. punktu un 6. punktu, uzskatām, ka priekšlikums ir precizējams - par kurām tieši likumprojektā ietvertajām likuma “Par zemes dzīlēm” normām ir runa. Pašlaik nav skaidrs, jo viedoklī pausti priekšlikumi attiecībā uz ogļūdeņražiem, bet minētās likuma “Par zemes dzīlēm” normas neattiecas specifiski uz ogļūdeņražiem, savukārt likumprojektā nav pirmās daļas 3. punkta un 6. punkta.</w:t>
      </w:r>
    </w:p>
    <w:p w14:paraId="435920CE" w14:textId="4D4C4664" w:rsidR="00BE0999" w:rsidRDefault="00BE0999" w:rsidP="00BE0999">
      <w:pPr>
        <w:pStyle w:val="ListParagraph"/>
        <w:jc w:val="both"/>
        <w:rPr>
          <w:rFonts w:ascii="Times New Roman" w:hAnsi="Times New Roman" w:cs="Times New Roman"/>
          <w:sz w:val="28"/>
          <w:szCs w:val="28"/>
        </w:rPr>
      </w:pPr>
    </w:p>
    <w:p w14:paraId="02355614" w14:textId="0846FFF7" w:rsidR="00BE0999" w:rsidRDefault="00BE0999" w:rsidP="00BE0999">
      <w:pPr>
        <w:pStyle w:val="ListParagraph"/>
        <w:jc w:val="both"/>
        <w:rPr>
          <w:rFonts w:ascii="Times New Roman" w:hAnsi="Times New Roman" w:cs="Times New Roman"/>
          <w:sz w:val="28"/>
          <w:szCs w:val="28"/>
        </w:rPr>
      </w:pPr>
      <w:bookmarkStart w:id="0" w:name="_Hlk130912924"/>
      <w:r>
        <w:rPr>
          <w:rFonts w:ascii="Times New Roman" w:hAnsi="Times New Roman" w:cs="Times New Roman"/>
          <w:sz w:val="28"/>
          <w:szCs w:val="28"/>
        </w:rPr>
        <w:lastRenderedPageBreak/>
        <w:t xml:space="preserve">Vienlaikus, ja priekšlikumā runa ir par likumprojektā ietverto likuma 9. panta pirmās daļas 3. un 6. punktu, kuros, iespējams, tiek piedāvāts iegrozīt termiņus ogļūdeņražu meklēšanai un ieguvei, norādām, ka nav pieļaujama tiesību aktu normu vienlaicīga dublēšana un vēl jo vairāk, savstarpēja pretruna. Vēršam uzmanību, ka visi termiņi attiecībā uz ogļūdeņražu meklēšanas, izpētes un ieguves licencēm ir jau ietverti Ministru kabineta </w:t>
      </w:r>
      <w:r w:rsidRPr="00BE0999">
        <w:rPr>
          <w:rFonts w:ascii="Times New Roman" w:hAnsi="Times New Roman" w:cs="Times New Roman"/>
          <w:sz w:val="28"/>
          <w:szCs w:val="28"/>
        </w:rPr>
        <w:t>2015.</w:t>
      </w:r>
      <w:r>
        <w:rPr>
          <w:rFonts w:ascii="Times New Roman" w:hAnsi="Times New Roman" w:cs="Times New Roman"/>
          <w:sz w:val="28"/>
          <w:szCs w:val="28"/>
        </w:rPr>
        <w:t> </w:t>
      </w:r>
      <w:r w:rsidRPr="00BE0999">
        <w:rPr>
          <w:rFonts w:ascii="Times New Roman" w:hAnsi="Times New Roman" w:cs="Times New Roman"/>
          <w:sz w:val="28"/>
          <w:szCs w:val="28"/>
        </w:rPr>
        <w:t>gada 22.</w:t>
      </w:r>
      <w:r>
        <w:rPr>
          <w:rFonts w:ascii="Times New Roman" w:hAnsi="Times New Roman" w:cs="Times New Roman"/>
          <w:sz w:val="28"/>
          <w:szCs w:val="28"/>
        </w:rPr>
        <w:t> </w:t>
      </w:r>
      <w:r w:rsidRPr="00BE0999">
        <w:rPr>
          <w:rFonts w:ascii="Times New Roman" w:hAnsi="Times New Roman" w:cs="Times New Roman"/>
          <w:sz w:val="28"/>
          <w:szCs w:val="28"/>
        </w:rPr>
        <w:t>decembr</w:t>
      </w:r>
      <w:r>
        <w:rPr>
          <w:rFonts w:ascii="Times New Roman" w:hAnsi="Times New Roman" w:cs="Times New Roman"/>
          <w:sz w:val="28"/>
          <w:szCs w:val="28"/>
        </w:rPr>
        <w:t xml:space="preserve">a </w:t>
      </w:r>
      <w:r w:rsidRPr="00BE0999">
        <w:rPr>
          <w:rFonts w:ascii="Times New Roman" w:hAnsi="Times New Roman" w:cs="Times New Roman"/>
          <w:sz w:val="28"/>
          <w:szCs w:val="28"/>
        </w:rPr>
        <w:t>noteikumos Nr. 805 “Noteikumi par ogļūdeņražu meklēšanu, izpēti un ieguvi”</w:t>
      </w:r>
      <w:r>
        <w:rPr>
          <w:rFonts w:ascii="Times New Roman" w:hAnsi="Times New Roman" w:cs="Times New Roman"/>
          <w:sz w:val="28"/>
          <w:szCs w:val="28"/>
        </w:rPr>
        <w:t>.</w:t>
      </w:r>
    </w:p>
    <w:p w14:paraId="26D64933" w14:textId="77777777" w:rsidR="002F67BF" w:rsidRPr="00BE0999" w:rsidRDefault="002F67BF" w:rsidP="00BE0999">
      <w:pPr>
        <w:pStyle w:val="ListParagraph"/>
        <w:jc w:val="both"/>
        <w:rPr>
          <w:rFonts w:ascii="Times New Roman" w:hAnsi="Times New Roman" w:cs="Times New Roman"/>
          <w:sz w:val="28"/>
          <w:szCs w:val="28"/>
        </w:rPr>
      </w:pPr>
    </w:p>
    <w:p w14:paraId="575ED95C" w14:textId="47FE063E" w:rsidR="001D389B" w:rsidRDefault="00BB7F50" w:rsidP="007C26A9">
      <w:pPr>
        <w:pStyle w:val="ListParagraph"/>
        <w:numPr>
          <w:ilvl w:val="0"/>
          <w:numId w:val="4"/>
        </w:numPr>
        <w:jc w:val="both"/>
        <w:rPr>
          <w:rFonts w:ascii="Times New Roman" w:hAnsi="Times New Roman" w:cs="Times New Roman"/>
          <w:sz w:val="28"/>
          <w:szCs w:val="28"/>
        </w:rPr>
      </w:pPr>
      <w:bookmarkStart w:id="1" w:name="_Hlk131005042"/>
      <w:bookmarkEnd w:id="0"/>
      <w:r>
        <w:rPr>
          <w:rFonts w:ascii="Times New Roman" w:hAnsi="Times New Roman" w:cs="Times New Roman"/>
          <w:sz w:val="28"/>
          <w:szCs w:val="28"/>
        </w:rPr>
        <w:t>Attiecībā uz atzinumā pausto par likumprojektā ietvertajiem grozījumiem, papildinot likuma “Par zemes dzīlēm” 10. pantu ar 1.</w:t>
      </w:r>
      <w:r>
        <w:rPr>
          <w:rFonts w:ascii="Times New Roman" w:hAnsi="Times New Roman" w:cs="Times New Roman"/>
          <w:sz w:val="28"/>
          <w:szCs w:val="28"/>
          <w:vertAlign w:val="superscript"/>
        </w:rPr>
        <w:t>1</w:t>
      </w:r>
      <w:r>
        <w:rPr>
          <w:rFonts w:ascii="Times New Roman" w:hAnsi="Times New Roman" w:cs="Times New Roman"/>
          <w:sz w:val="28"/>
          <w:szCs w:val="28"/>
        </w:rPr>
        <w:t> daļu, norādām, ka iebildums daļēji ņemts vērā, izslēdzot no piedāvātās redakcijas vārdu “prettiesiski”</w:t>
      </w:r>
      <w:r w:rsidR="001D389B">
        <w:rPr>
          <w:rFonts w:ascii="Times New Roman" w:hAnsi="Times New Roman" w:cs="Times New Roman"/>
          <w:sz w:val="28"/>
          <w:szCs w:val="28"/>
        </w:rPr>
        <w:t xml:space="preserve">, ņemot vērā, ka prettiesisks nozīmē pret tiesību aktiem veikts, šajā gadījumā </w:t>
      </w:r>
      <w:r w:rsidR="001D389B" w:rsidRPr="001D389B">
        <w:rPr>
          <w:rFonts w:ascii="Times New Roman" w:hAnsi="Times New Roman" w:cs="Times New Roman"/>
          <w:sz w:val="28"/>
          <w:szCs w:val="28"/>
        </w:rPr>
        <w:t>neievērojot zemes dzīļu izmantošanas normatīvo aktu vai zemes dzīļu izmantošanas licences prasības</w:t>
      </w:r>
      <w:r w:rsidR="001D389B">
        <w:rPr>
          <w:rFonts w:ascii="Times New Roman" w:hAnsi="Times New Roman" w:cs="Times New Roman"/>
          <w:sz w:val="28"/>
          <w:szCs w:val="28"/>
        </w:rPr>
        <w:t>, kas jau ir ietverts piedāvātajā redakcijā.</w:t>
      </w:r>
      <w:r w:rsidR="002F67BF">
        <w:rPr>
          <w:rFonts w:ascii="Times New Roman" w:hAnsi="Times New Roman" w:cs="Times New Roman"/>
          <w:sz w:val="28"/>
          <w:szCs w:val="28"/>
        </w:rPr>
        <w:t xml:space="preserve"> Vienlaikus akcentējam, ka vārdi “prettiesisks” un “prettiesiska rīcība” ir plaši izmantoti dažādos tiesību aktos bez šo vārdu definīcijas sniegšanas, piemēram, Kriminālprocesa likumā.</w:t>
      </w:r>
    </w:p>
    <w:p w14:paraId="7F125E28" w14:textId="77777777" w:rsidR="002F67BF" w:rsidRDefault="002F67BF" w:rsidP="002F67BF">
      <w:pPr>
        <w:pStyle w:val="ListParagraph"/>
        <w:jc w:val="both"/>
        <w:rPr>
          <w:rFonts w:ascii="Times New Roman" w:hAnsi="Times New Roman" w:cs="Times New Roman"/>
          <w:sz w:val="28"/>
          <w:szCs w:val="28"/>
        </w:rPr>
      </w:pPr>
    </w:p>
    <w:p w14:paraId="14793084" w14:textId="7AE438B9" w:rsidR="002F67BF" w:rsidRDefault="002F67BF" w:rsidP="002F67BF">
      <w:pPr>
        <w:pStyle w:val="ListParagraph"/>
        <w:jc w:val="both"/>
        <w:rPr>
          <w:rFonts w:ascii="Times New Roman" w:hAnsi="Times New Roman" w:cs="Times New Roman"/>
          <w:sz w:val="28"/>
          <w:szCs w:val="28"/>
        </w:rPr>
      </w:pPr>
      <w:r>
        <w:rPr>
          <w:rFonts w:ascii="Times New Roman" w:hAnsi="Times New Roman" w:cs="Times New Roman"/>
          <w:sz w:val="28"/>
          <w:szCs w:val="28"/>
        </w:rPr>
        <w:t>Papildus iepriekš minētajam, attiecībā uz atzinumā pausto viedokli, ka atteikums izsniegt licenci vērtējams kā nepamatots vai nesamērīgs sods, norādām, ka n</w:t>
      </w:r>
      <w:r w:rsidRPr="002F67BF">
        <w:rPr>
          <w:rFonts w:ascii="Times New Roman" w:hAnsi="Times New Roman" w:cs="Times New Roman"/>
          <w:sz w:val="28"/>
          <w:szCs w:val="28"/>
        </w:rPr>
        <w:t xml:space="preserve">av pieļaujams, ka zemes dzīļu </w:t>
      </w:r>
      <w:r>
        <w:rPr>
          <w:rFonts w:ascii="Times New Roman" w:hAnsi="Times New Roman" w:cs="Times New Roman"/>
          <w:sz w:val="28"/>
          <w:szCs w:val="28"/>
        </w:rPr>
        <w:t>izmantotājs</w:t>
      </w:r>
      <w:r w:rsidRPr="002F67BF">
        <w:rPr>
          <w:rFonts w:ascii="Times New Roman" w:hAnsi="Times New Roman" w:cs="Times New Roman"/>
          <w:sz w:val="28"/>
          <w:szCs w:val="28"/>
        </w:rPr>
        <w:t xml:space="preserve"> veic pārkāpumus,</w:t>
      </w:r>
      <w:r w:rsidR="00146E28">
        <w:rPr>
          <w:rFonts w:ascii="Times New Roman" w:hAnsi="Times New Roman" w:cs="Times New Roman"/>
          <w:sz w:val="28"/>
          <w:szCs w:val="28"/>
        </w:rPr>
        <w:t xml:space="preserve"> turklāt atkārtotus. </w:t>
      </w:r>
    </w:p>
    <w:p w14:paraId="77424998" w14:textId="479BCF03" w:rsidR="002F67BF" w:rsidRDefault="002F67BF" w:rsidP="002F67BF">
      <w:pPr>
        <w:pStyle w:val="ListParagraph"/>
        <w:jc w:val="both"/>
        <w:rPr>
          <w:rFonts w:ascii="Times New Roman" w:hAnsi="Times New Roman" w:cs="Times New Roman"/>
          <w:sz w:val="28"/>
          <w:szCs w:val="28"/>
        </w:rPr>
      </w:pPr>
      <w:r w:rsidRPr="002F67BF">
        <w:rPr>
          <w:rFonts w:ascii="Times New Roman" w:hAnsi="Times New Roman" w:cs="Times New Roman"/>
          <w:sz w:val="28"/>
          <w:szCs w:val="28"/>
        </w:rPr>
        <w:br/>
        <w:t xml:space="preserve">Tas ir kā motivējošs rīks, ka šādi </w:t>
      </w:r>
      <w:r w:rsidR="00146E28">
        <w:rPr>
          <w:rFonts w:ascii="Times New Roman" w:hAnsi="Times New Roman" w:cs="Times New Roman"/>
          <w:sz w:val="28"/>
          <w:szCs w:val="28"/>
        </w:rPr>
        <w:t xml:space="preserve">– prettiesiski, </w:t>
      </w:r>
      <w:r w:rsidRPr="002F67BF">
        <w:rPr>
          <w:rFonts w:ascii="Times New Roman" w:hAnsi="Times New Roman" w:cs="Times New Roman"/>
          <w:sz w:val="28"/>
          <w:szCs w:val="28"/>
        </w:rPr>
        <w:t>rīkoties</w:t>
      </w:r>
      <w:r w:rsidR="00146E28">
        <w:rPr>
          <w:rFonts w:ascii="Times New Roman" w:hAnsi="Times New Roman" w:cs="Times New Roman"/>
          <w:sz w:val="28"/>
          <w:szCs w:val="28"/>
        </w:rPr>
        <w:t xml:space="preserve">, </w:t>
      </w:r>
      <w:r w:rsidR="00146E28" w:rsidRPr="00146E28">
        <w:rPr>
          <w:rFonts w:ascii="Times New Roman" w:hAnsi="Times New Roman" w:cs="Times New Roman"/>
          <w:sz w:val="28"/>
          <w:szCs w:val="28"/>
        </w:rPr>
        <w:t xml:space="preserve">neievērojot zemes dzīļu normatīvo aktu vai zemes dzīļu izmantošanas licences prasības vai derīgo izrakteņu ieguves projekta prasības, </w:t>
      </w:r>
      <w:r w:rsidRPr="002F67BF">
        <w:rPr>
          <w:rFonts w:ascii="Times New Roman" w:hAnsi="Times New Roman" w:cs="Times New Roman"/>
          <w:sz w:val="28"/>
          <w:szCs w:val="28"/>
        </w:rPr>
        <w:t xml:space="preserve">nav pieļaujams un sekas ir </w:t>
      </w:r>
      <w:r w:rsidR="00146E28">
        <w:rPr>
          <w:rFonts w:ascii="Times New Roman" w:hAnsi="Times New Roman" w:cs="Times New Roman"/>
          <w:sz w:val="28"/>
          <w:szCs w:val="28"/>
        </w:rPr>
        <w:t>periods, kad licenci vai atļauju nevar saņemt</w:t>
      </w:r>
      <w:r w:rsidRPr="002F67BF">
        <w:rPr>
          <w:rFonts w:ascii="Times New Roman" w:hAnsi="Times New Roman" w:cs="Times New Roman"/>
          <w:sz w:val="28"/>
          <w:szCs w:val="28"/>
        </w:rPr>
        <w:t>. Tur</w:t>
      </w:r>
      <w:r w:rsidR="00146E28">
        <w:rPr>
          <w:rFonts w:ascii="Times New Roman" w:hAnsi="Times New Roman" w:cs="Times New Roman"/>
          <w:sz w:val="28"/>
          <w:szCs w:val="28"/>
        </w:rPr>
        <w:t xml:space="preserve">klāt, liela daļa derīgo izrakteņu ieguves vietu atrodas publiskai personai piederošā zemē un </w:t>
      </w:r>
      <w:r w:rsidRPr="002F67BF">
        <w:rPr>
          <w:rFonts w:ascii="Times New Roman" w:hAnsi="Times New Roman" w:cs="Times New Roman"/>
          <w:sz w:val="28"/>
          <w:szCs w:val="28"/>
        </w:rPr>
        <w:t>aizsargāt publiskas personas intereses ir ļoti būtiski.</w:t>
      </w:r>
      <w:r w:rsidR="00146E28">
        <w:rPr>
          <w:rFonts w:ascii="Times New Roman" w:hAnsi="Times New Roman" w:cs="Times New Roman"/>
          <w:sz w:val="28"/>
          <w:szCs w:val="28"/>
        </w:rPr>
        <w:t xml:space="preserve"> Tas pats attiecas arī uz fiziskām personām.</w:t>
      </w:r>
      <w:r w:rsidRPr="002F67BF">
        <w:rPr>
          <w:rFonts w:ascii="Times New Roman" w:hAnsi="Times New Roman" w:cs="Times New Roman"/>
          <w:sz w:val="28"/>
          <w:szCs w:val="28"/>
        </w:rPr>
        <w:br/>
      </w:r>
      <w:r w:rsidRPr="002F67BF">
        <w:rPr>
          <w:rFonts w:ascii="Times New Roman" w:hAnsi="Times New Roman" w:cs="Times New Roman"/>
          <w:sz w:val="28"/>
          <w:szCs w:val="28"/>
        </w:rPr>
        <w:br/>
      </w:r>
      <w:r w:rsidR="00146E28">
        <w:rPr>
          <w:rFonts w:ascii="Times New Roman" w:hAnsi="Times New Roman" w:cs="Times New Roman"/>
          <w:sz w:val="28"/>
          <w:szCs w:val="28"/>
        </w:rPr>
        <w:t>N</w:t>
      </w:r>
      <w:r w:rsidRPr="002F67BF">
        <w:rPr>
          <w:rFonts w:ascii="Times New Roman" w:hAnsi="Times New Roman" w:cs="Times New Roman"/>
          <w:sz w:val="28"/>
          <w:szCs w:val="28"/>
        </w:rPr>
        <w:t xml:space="preserve">ormas mērķis ir veicināt, lai </w:t>
      </w:r>
      <w:r w:rsidR="00146E28">
        <w:rPr>
          <w:rFonts w:ascii="Times New Roman" w:hAnsi="Times New Roman" w:cs="Times New Roman"/>
          <w:sz w:val="28"/>
          <w:szCs w:val="28"/>
        </w:rPr>
        <w:t>zemes dzīļu izmantotājs ne tikai samaksā sodu par pārkāpumu, ja tāds piemērots, bet arī apzinās, ka atkārtotiem pārkāpumiem</w:t>
      </w:r>
      <w:r w:rsidRPr="002F67BF">
        <w:rPr>
          <w:rFonts w:ascii="Times New Roman" w:hAnsi="Times New Roman" w:cs="Times New Roman"/>
          <w:sz w:val="28"/>
          <w:szCs w:val="28"/>
        </w:rPr>
        <w:t xml:space="preserve"> </w:t>
      </w:r>
      <w:r w:rsidR="00146E28">
        <w:rPr>
          <w:rFonts w:ascii="Times New Roman" w:hAnsi="Times New Roman" w:cs="Times New Roman"/>
          <w:sz w:val="28"/>
          <w:szCs w:val="28"/>
        </w:rPr>
        <w:t>būs sekas un licences vai atļaujas saņemšanas ierobežojumi</w:t>
      </w:r>
      <w:r w:rsidRPr="002F67BF">
        <w:rPr>
          <w:rFonts w:ascii="Times New Roman" w:hAnsi="Times New Roman" w:cs="Times New Roman"/>
          <w:sz w:val="28"/>
          <w:szCs w:val="28"/>
        </w:rPr>
        <w:t>.</w:t>
      </w:r>
    </w:p>
    <w:bookmarkEnd w:id="1"/>
    <w:p w14:paraId="3F618733" w14:textId="77777777" w:rsidR="00146E28" w:rsidRPr="002F67BF" w:rsidRDefault="00146E28" w:rsidP="002F67BF">
      <w:pPr>
        <w:pStyle w:val="ListParagraph"/>
        <w:jc w:val="both"/>
        <w:rPr>
          <w:rFonts w:ascii="Times New Roman" w:hAnsi="Times New Roman" w:cs="Times New Roman"/>
          <w:sz w:val="28"/>
          <w:szCs w:val="28"/>
        </w:rPr>
      </w:pPr>
    </w:p>
    <w:p w14:paraId="30E7BCDC" w14:textId="45451B5D" w:rsidR="003F2C93" w:rsidRDefault="00531A03" w:rsidP="007C26A9">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lastRenderedPageBreak/>
        <w:t xml:space="preserve">Attiecībā uz viedokli par likumprojektā ietvertajiem grozījumiem likuma “Par zemes dzīlēm” 13. panta </w:t>
      </w:r>
      <w:r w:rsidR="003F2C93">
        <w:rPr>
          <w:rFonts w:ascii="Times New Roman" w:hAnsi="Times New Roman" w:cs="Times New Roman"/>
          <w:sz w:val="28"/>
          <w:szCs w:val="28"/>
        </w:rPr>
        <w:t>5. punktā, lūdzam skatīt skaidrojumu šī dokumenta 3. punkta.</w:t>
      </w:r>
    </w:p>
    <w:p w14:paraId="073797A7" w14:textId="77777777" w:rsidR="003F2C93" w:rsidRDefault="003F2C93" w:rsidP="003F2C93">
      <w:pPr>
        <w:pStyle w:val="ListParagraph"/>
        <w:jc w:val="both"/>
        <w:rPr>
          <w:rFonts w:ascii="Times New Roman" w:hAnsi="Times New Roman" w:cs="Times New Roman"/>
          <w:sz w:val="28"/>
          <w:szCs w:val="28"/>
        </w:rPr>
      </w:pPr>
    </w:p>
    <w:p w14:paraId="27BE5D96" w14:textId="33D69D2E" w:rsidR="001D389B" w:rsidRDefault="003F2C93" w:rsidP="007C26A9">
      <w:pPr>
        <w:pStyle w:val="ListParagraph"/>
        <w:numPr>
          <w:ilvl w:val="0"/>
          <w:numId w:val="4"/>
        </w:numPr>
        <w:jc w:val="both"/>
        <w:rPr>
          <w:rFonts w:ascii="Times New Roman" w:hAnsi="Times New Roman" w:cs="Times New Roman"/>
          <w:sz w:val="28"/>
          <w:szCs w:val="28"/>
        </w:rPr>
      </w:pPr>
      <w:bookmarkStart w:id="2" w:name="_Hlk131005826"/>
      <w:r>
        <w:rPr>
          <w:rFonts w:ascii="Times New Roman" w:hAnsi="Times New Roman" w:cs="Times New Roman"/>
          <w:sz w:val="28"/>
          <w:szCs w:val="28"/>
        </w:rPr>
        <w:t>Attiecībā uz atzinumā pausto viedokli par likumprojektā ietvertajiem grozījumiem likuma “Par zemes dzīlēm” 14. panta 8. punktu, lūdzam skatīt precizēto redakciju, kas paredz zemes dzīļu izmantotāja atbildību ārpus licences vai atļaujas laukuma, vienlaikus ierobežojot atbildību ar derīgo izrakteņu ieguves projekta prasību neizpildi. Norādām, ka piedāvātās izmaiņas risinās gadījumus, kad zemes dzīļu izmantotājs nepilda licences vai atļaujas nosacījumus vai derīgo izrakteņu ieguves projekta prasības un šādas rīcības dēļ rada bojājumus kā licences vai atļaujas laukumā, tā ārpus tā.</w:t>
      </w:r>
      <w:bookmarkEnd w:id="2"/>
    </w:p>
    <w:p w14:paraId="11AA721D" w14:textId="77777777" w:rsidR="003F2C93" w:rsidRPr="003F2C93" w:rsidRDefault="003F2C93" w:rsidP="003F2C93">
      <w:pPr>
        <w:pStyle w:val="ListParagraph"/>
        <w:rPr>
          <w:rFonts w:ascii="Times New Roman" w:hAnsi="Times New Roman" w:cs="Times New Roman"/>
          <w:sz w:val="28"/>
          <w:szCs w:val="28"/>
        </w:rPr>
      </w:pPr>
    </w:p>
    <w:p w14:paraId="7CF42808" w14:textId="119E718F" w:rsidR="00985ABA" w:rsidRPr="00985ABA" w:rsidRDefault="003F2C93" w:rsidP="00985ABA">
      <w:pPr>
        <w:pStyle w:val="ListParagraph"/>
        <w:numPr>
          <w:ilvl w:val="0"/>
          <w:numId w:val="4"/>
        </w:numPr>
        <w:jc w:val="both"/>
        <w:rPr>
          <w:rFonts w:ascii="Times New Roman" w:hAnsi="Times New Roman" w:cs="Times New Roman"/>
          <w:sz w:val="28"/>
          <w:szCs w:val="28"/>
        </w:rPr>
      </w:pPr>
      <w:bookmarkStart w:id="3" w:name="_Hlk131006039"/>
      <w:r>
        <w:rPr>
          <w:rFonts w:ascii="Times New Roman" w:hAnsi="Times New Roman" w:cs="Times New Roman"/>
          <w:sz w:val="28"/>
          <w:szCs w:val="28"/>
        </w:rPr>
        <w:t xml:space="preserve">Attiecībā uz atzinumā pausto viedokli par likumprojektā ietvertajiem grozījumiem likuma “Par zemes dzīlēm” 16. pantā, norādām, ka tiesību aktu normām ir jābūt maksimāli skaidrām un saprotamām ikvienam. Ir jāizvairās no nekonkrētām normām. </w:t>
      </w:r>
      <w:r w:rsidR="004D7E47">
        <w:rPr>
          <w:rFonts w:ascii="Times New Roman" w:hAnsi="Times New Roman" w:cs="Times New Roman"/>
          <w:sz w:val="28"/>
          <w:szCs w:val="28"/>
        </w:rPr>
        <w:t>Īpaši minētais attiecas uz normām, kas paredz valsts institūciju pienākumus. Ņemot vērā minēto, nepiekrītam precizēt likuma “Par zemes dzīlēm” 16. panta pirmo un trešo daļu kā piedāvā atzinuma sniedzējs.</w:t>
      </w:r>
      <w:bookmarkEnd w:id="3"/>
    </w:p>
    <w:p w14:paraId="23E9AC88" w14:textId="77777777" w:rsidR="00985ABA" w:rsidRDefault="00985ABA" w:rsidP="00985ABA">
      <w:pPr>
        <w:pStyle w:val="ListParagraph"/>
        <w:jc w:val="both"/>
        <w:rPr>
          <w:rFonts w:ascii="Times New Roman" w:hAnsi="Times New Roman" w:cs="Times New Roman"/>
          <w:sz w:val="28"/>
          <w:szCs w:val="28"/>
        </w:rPr>
      </w:pPr>
    </w:p>
    <w:p w14:paraId="555D45D9" w14:textId="7B281174" w:rsidR="004D7E47" w:rsidRDefault="0013590F" w:rsidP="00985ABA">
      <w:pPr>
        <w:pStyle w:val="ListParagraph"/>
        <w:jc w:val="both"/>
        <w:rPr>
          <w:rFonts w:ascii="Times New Roman" w:hAnsi="Times New Roman" w:cs="Times New Roman"/>
          <w:sz w:val="28"/>
          <w:szCs w:val="28"/>
        </w:rPr>
      </w:pPr>
      <w:bookmarkStart w:id="4" w:name="_Hlk131079846"/>
      <w:r w:rsidRPr="00985ABA">
        <w:rPr>
          <w:rFonts w:ascii="Times New Roman" w:hAnsi="Times New Roman" w:cs="Times New Roman"/>
          <w:sz w:val="28"/>
          <w:szCs w:val="28"/>
        </w:rPr>
        <w:t>Attiecībā uz vārda “neaptur” aizstāšanu uz “aptur” likuma “Par zemes dzīlēm” 16. panta sestajā daļā, norādām</w:t>
      </w:r>
      <w:r w:rsidR="00985ABA">
        <w:rPr>
          <w:rFonts w:ascii="Times New Roman" w:hAnsi="Times New Roman" w:cs="Times New Roman"/>
          <w:sz w:val="28"/>
          <w:szCs w:val="28"/>
        </w:rPr>
        <w:t xml:space="preserve">, ka Administratīvā procesa likuma </w:t>
      </w:r>
      <w:r w:rsidR="00985ABA" w:rsidRPr="00985ABA">
        <w:rPr>
          <w:rFonts w:ascii="Times New Roman" w:hAnsi="Times New Roman" w:cs="Times New Roman"/>
          <w:sz w:val="28"/>
          <w:szCs w:val="28"/>
        </w:rPr>
        <w:t>360. panta “Piespiedu izpildes priekšnoteikumi” otrās daļas pirmais punkts noteic, ka administratīvo aktu var izpildīt piespiedu kārtā jau ar spēkā stāšanās brīdi, negaidot, kad tas kļuvis neapstrīdams un līdz piespiedu izpildes sākumam vēl nav izpildīts labprātīgi, ja izpilde ar spēkā stāšanās brīdi paredzēta citā likumā. Attiecīgi Administratīvā procesa likums paredz iespēju citā</w:t>
      </w:r>
      <w:r w:rsidR="00985ABA">
        <w:rPr>
          <w:rFonts w:ascii="Times New Roman" w:hAnsi="Times New Roman" w:cs="Times New Roman"/>
          <w:sz w:val="28"/>
          <w:szCs w:val="28"/>
        </w:rPr>
        <w:t xml:space="preserve"> (speciālajā)</w:t>
      </w:r>
      <w:r w:rsidR="00985ABA" w:rsidRPr="00985ABA">
        <w:rPr>
          <w:rFonts w:ascii="Times New Roman" w:hAnsi="Times New Roman" w:cs="Times New Roman"/>
          <w:sz w:val="28"/>
          <w:szCs w:val="28"/>
        </w:rPr>
        <w:t xml:space="preserve"> likumā noteikt, ka pārsūdzēšana neaptur administratīvā akta darbību.</w:t>
      </w:r>
      <w:r w:rsidR="00A31456">
        <w:rPr>
          <w:rFonts w:ascii="Times New Roman" w:hAnsi="Times New Roman" w:cs="Times New Roman"/>
          <w:sz w:val="28"/>
          <w:szCs w:val="28"/>
        </w:rPr>
        <w:t xml:space="preserve"> Nesaskatām pamatu spēkā esošā regulējuma mainīšanai.</w:t>
      </w:r>
    </w:p>
    <w:bookmarkEnd w:id="4"/>
    <w:p w14:paraId="7CDC3B96" w14:textId="77777777" w:rsidR="004D7E47" w:rsidRPr="004D7E47" w:rsidRDefault="004D7E47" w:rsidP="004D7E47">
      <w:pPr>
        <w:pStyle w:val="ListParagraph"/>
        <w:rPr>
          <w:rFonts w:ascii="Times New Roman" w:hAnsi="Times New Roman" w:cs="Times New Roman"/>
          <w:sz w:val="28"/>
          <w:szCs w:val="28"/>
        </w:rPr>
      </w:pPr>
    </w:p>
    <w:p w14:paraId="36369487" w14:textId="2979787D" w:rsidR="00F532A0" w:rsidRPr="00F532A0" w:rsidRDefault="00F532A0" w:rsidP="007C26A9">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Attiecībā uz piedāvājumu veikt precizējumu likumprojekta anotācijā norādām, ka nevaram ņemt šo piedāvājumu vērā anotācijā minēto apsvērumu dēļ un proti - </w:t>
      </w:r>
      <w:r w:rsidRPr="00F532A0">
        <w:rPr>
          <w:rFonts w:ascii="Times New Roman" w:hAnsi="Times New Roman" w:cs="Times New Roman"/>
          <w:sz w:val="28"/>
          <w:szCs w:val="28"/>
        </w:rPr>
        <w:t>Būvniecības valsts kontroles biroj</w:t>
      </w:r>
      <w:r>
        <w:rPr>
          <w:rFonts w:ascii="Times New Roman" w:hAnsi="Times New Roman" w:cs="Times New Roman"/>
          <w:sz w:val="28"/>
          <w:szCs w:val="28"/>
        </w:rPr>
        <w:t>s ir</w:t>
      </w:r>
      <w:r w:rsidRPr="00F532A0">
        <w:rPr>
          <w:rFonts w:ascii="Times New Roman" w:hAnsi="Times New Roman" w:cs="Times New Roman"/>
          <w:sz w:val="28"/>
          <w:szCs w:val="28"/>
        </w:rPr>
        <w:t xml:space="preserve"> ogļūdeņražu meklēšanas, izpētes un ieguves licenču izsniedzēj</w:t>
      </w:r>
      <w:r>
        <w:rPr>
          <w:rFonts w:ascii="Times New Roman" w:hAnsi="Times New Roman" w:cs="Times New Roman"/>
          <w:sz w:val="28"/>
          <w:szCs w:val="28"/>
        </w:rPr>
        <w:t>s.</w:t>
      </w:r>
      <w:r w:rsidRPr="00F532A0">
        <w:rPr>
          <w:rFonts w:ascii="Times New Roman" w:hAnsi="Times New Roman" w:cs="Times New Roman"/>
          <w:sz w:val="28"/>
          <w:szCs w:val="28"/>
        </w:rPr>
        <w:t xml:space="preserve"> </w:t>
      </w:r>
      <w:r>
        <w:rPr>
          <w:rFonts w:ascii="Times New Roman" w:hAnsi="Times New Roman" w:cs="Times New Roman"/>
          <w:sz w:val="28"/>
          <w:szCs w:val="28"/>
        </w:rPr>
        <w:t>A</w:t>
      </w:r>
      <w:r w:rsidRPr="00F532A0">
        <w:rPr>
          <w:rFonts w:ascii="Times New Roman" w:hAnsi="Times New Roman" w:cs="Times New Roman"/>
          <w:sz w:val="28"/>
          <w:szCs w:val="28"/>
        </w:rPr>
        <w:t xml:space="preserve">rī ogļūdeņraži ir derīgie izrakteņi, tādējādi arī šajā jomā nepieciešams </w:t>
      </w:r>
      <w:r w:rsidRPr="00F532A0">
        <w:rPr>
          <w:rFonts w:ascii="Times New Roman" w:hAnsi="Times New Roman" w:cs="Times New Roman"/>
          <w:sz w:val="28"/>
          <w:szCs w:val="28"/>
        </w:rPr>
        <w:lastRenderedPageBreak/>
        <w:t>mazināt iespējamos riskus attiecībā uz atkārtotiem pārkāpumiem un prettiesisku rīcību.</w:t>
      </w:r>
      <w:r>
        <w:rPr>
          <w:rFonts w:ascii="Times New Roman" w:hAnsi="Times New Roman" w:cs="Times New Roman"/>
          <w:sz w:val="28"/>
          <w:szCs w:val="28"/>
        </w:rPr>
        <w:t xml:space="preserve"> Nav nekāda pamata attiecināt prasības, kas ietvertas likumprojektā paredzētajos 10. panta grozījumos attiecībā uz licences izsniegšanas ierobežošanu – vispārīgas prasības zemes dzīļu izmantošanas jomā, </w:t>
      </w:r>
      <w:r w:rsidRPr="00F532A0">
        <w:rPr>
          <w:rFonts w:ascii="Times New Roman" w:hAnsi="Times New Roman" w:cs="Times New Roman"/>
          <w:sz w:val="28"/>
          <w:szCs w:val="28"/>
        </w:rPr>
        <w:t>kur</w:t>
      </w:r>
      <w:r>
        <w:rPr>
          <w:rFonts w:ascii="Times New Roman" w:hAnsi="Times New Roman" w:cs="Times New Roman"/>
          <w:sz w:val="28"/>
          <w:szCs w:val="28"/>
        </w:rPr>
        <w:t>a</w:t>
      </w:r>
      <w:r w:rsidRPr="00F532A0">
        <w:rPr>
          <w:rFonts w:ascii="Times New Roman" w:hAnsi="Times New Roman" w:cs="Times New Roman"/>
          <w:sz w:val="28"/>
          <w:szCs w:val="28"/>
        </w:rPr>
        <w:t>s pamato iepriekš minētais, uz visiem citiem derīgajiem izrakteņiem, izņemot ogļūdeņražus.</w:t>
      </w:r>
    </w:p>
    <w:sectPr w:rsidR="00F532A0" w:rsidRPr="00F532A0">
      <w:foot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4191F" w14:textId="77777777" w:rsidR="00B17E89" w:rsidRDefault="00B17E89" w:rsidP="00642779">
      <w:pPr>
        <w:spacing w:after="0" w:line="240" w:lineRule="auto"/>
      </w:pPr>
      <w:r>
        <w:separator/>
      </w:r>
    </w:p>
  </w:endnote>
  <w:endnote w:type="continuationSeparator" w:id="0">
    <w:p w14:paraId="2FEA3CEE" w14:textId="77777777" w:rsidR="00B17E89" w:rsidRDefault="00B17E89" w:rsidP="006427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04E49" w14:textId="5A030735" w:rsidR="00642779" w:rsidRDefault="00642779">
    <w:pPr>
      <w:pStyle w:val="Footer"/>
    </w:pPr>
    <w:proofErr w:type="spellStart"/>
    <w:r>
      <w:t>VARAMInf_boiia_zemes_dziles</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C864A" w14:textId="77777777" w:rsidR="00B17E89" w:rsidRDefault="00B17E89" w:rsidP="00642779">
      <w:pPr>
        <w:spacing w:after="0" w:line="240" w:lineRule="auto"/>
      </w:pPr>
      <w:r>
        <w:separator/>
      </w:r>
    </w:p>
  </w:footnote>
  <w:footnote w:type="continuationSeparator" w:id="0">
    <w:p w14:paraId="281E47E7" w14:textId="77777777" w:rsidR="00B17E89" w:rsidRDefault="00B17E89" w:rsidP="006427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B6543"/>
    <w:multiLevelType w:val="hybridMultilevel"/>
    <w:tmpl w:val="20A0FA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CB6247F"/>
    <w:multiLevelType w:val="hybridMultilevel"/>
    <w:tmpl w:val="BEE2730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5126627"/>
    <w:multiLevelType w:val="hybridMultilevel"/>
    <w:tmpl w:val="D8F27126"/>
    <w:lvl w:ilvl="0" w:tplc="47866C8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4CE089E"/>
    <w:multiLevelType w:val="hybridMultilevel"/>
    <w:tmpl w:val="9D34744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39663291">
    <w:abstractNumId w:val="1"/>
  </w:num>
  <w:num w:numId="2" w16cid:durableId="238682832">
    <w:abstractNumId w:val="0"/>
  </w:num>
  <w:num w:numId="3" w16cid:durableId="2042854898">
    <w:abstractNumId w:val="3"/>
  </w:num>
  <w:num w:numId="4" w16cid:durableId="9781473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779"/>
    <w:rsid w:val="000B516F"/>
    <w:rsid w:val="00134871"/>
    <w:rsid w:val="0013590F"/>
    <w:rsid w:val="001376CB"/>
    <w:rsid w:val="00146E28"/>
    <w:rsid w:val="001A0BEC"/>
    <w:rsid w:val="001D389B"/>
    <w:rsid w:val="00240FA1"/>
    <w:rsid w:val="002F67BF"/>
    <w:rsid w:val="0032235A"/>
    <w:rsid w:val="003F2C93"/>
    <w:rsid w:val="004D7E47"/>
    <w:rsid w:val="00531A03"/>
    <w:rsid w:val="00642779"/>
    <w:rsid w:val="00757D29"/>
    <w:rsid w:val="007C26A9"/>
    <w:rsid w:val="00833BAC"/>
    <w:rsid w:val="00985ABA"/>
    <w:rsid w:val="00A31456"/>
    <w:rsid w:val="00B17E89"/>
    <w:rsid w:val="00BB0834"/>
    <w:rsid w:val="00BB7F50"/>
    <w:rsid w:val="00BE0999"/>
    <w:rsid w:val="00C17D0B"/>
    <w:rsid w:val="00C52AE7"/>
    <w:rsid w:val="00C96254"/>
    <w:rsid w:val="00CC75B9"/>
    <w:rsid w:val="00E24FA3"/>
    <w:rsid w:val="00E86F73"/>
    <w:rsid w:val="00EB7384"/>
    <w:rsid w:val="00ED33AA"/>
    <w:rsid w:val="00EE0052"/>
    <w:rsid w:val="00F532A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0598C"/>
  <w15:chartTrackingRefBased/>
  <w15:docId w15:val="{2B127D02-30B7-4F1D-9CE8-3B163CA2F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51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2779"/>
    <w:pPr>
      <w:tabs>
        <w:tab w:val="center" w:pos="4153"/>
        <w:tab w:val="right" w:pos="8306"/>
      </w:tabs>
      <w:spacing w:after="0" w:line="240" w:lineRule="auto"/>
    </w:pPr>
  </w:style>
  <w:style w:type="character" w:customStyle="1" w:styleId="HeaderChar">
    <w:name w:val="Header Char"/>
    <w:basedOn w:val="DefaultParagraphFont"/>
    <w:link w:val="Header"/>
    <w:uiPriority w:val="99"/>
    <w:rsid w:val="00642779"/>
  </w:style>
  <w:style w:type="paragraph" w:styleId="Footer">
    <w:name w:val="footer"/>
    <w:basedOn w:val="Normal"/>
    <w:link w:val="FooterChar"/>
    <w:uiPriority w:val="99"/>
    <w:unhideWhenUsed/>
    <w:rsid w:val="00642779"/>
    <w:pPr>
      <w:tabs>
        <w:tab w:val="center" w:pos="4153"/>
        <w:tab w:val="right" w:pos="8306"/>
      </w:tabs>
      <w:spacing w:after="0" w:line="240" w:lineRule="auto"/>
    </w:pPr>
  </w:style>
  <w:style w:type="character" w:customStyle="1" w:styleId="FooterChar">
    <w:name w:val="Footer Char"/>
    <w:basedOn w:val="DefaultParagraphFont"/>
    <w:link w:val="Footer"/>
    <w:uiPriority w:val="99"/>
    <w:rsid w:val="00642779"/>
  </w:style>
  <w:style w:type="paragraph" w:styleId="ListParagraph">
    <w:name w:val="List Paragraph"/>
    <w:basedOn w:val="Normal"/>
    <w:uiPriority w:val="34"/>
    <w:qFormat/>
    <w:rsid w:val="000B516F"/>
    <w:pPr>
      <w:ind w:left="720"/>
      <w:contextualSpacing/>
    </w:pPr>
  </w:style>
  <w:style w:type="paragraph" w:customStyle="1" w:styleId="tv213">
    <w:name w:val="tv213"/>
    <w:basedOn w:val="Normal"/>
    <w:rsid w:val="00985ABA"/>
    <w:pPr>
      <w:spacing w:before="100" w:beforeAutospacing="1" w:after="100" w:afterAutospacing="1" w:line="240" w:lineRule="auto"/>
    </w:pPr>
    <w:rPr>
      <w:rFonts w:ascii="Calibri" w:hAnsi="Calibri" w:cs="Calibri"/>
      <w:kern w:val="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591239">
      <w:bodyDiv w:val="1"/>
      <w:marLeft w:val="0"/>
      <w:marRight w:val="0"/>
      <w:marTop w:val="0"/>
      <w:marBottom w:val="0"/>
      <w:divBdr>
        <w:top w:val="none" w:sz="0" w:space="0" w:color="auto"/>
        <w:left w:val="none" w:sz="0" w:space="0" w:color="auto"/>
        <w:bottom w:val="none" w:sz="0" w:space="0" w:color="auto"/>
        <w:right w:val="none" w:sz="0" w:space="0" w:color="auto"/>
      </w:divBdr>
      <w:divsChild>
        <w:div w:id="483397463">
          <w:marLeft w:val="0"/>
          <w:marRight w:val="0"/>
          <w:marTop w:val="0"/>
          <w:marBottom w:val="0"/>
          <w:divBdr>
            <w:top w:val="none" w:sz="0" w:space="0" w:color="auto"/>
            <w:left w:val="none" w:sz="0" w:space="0" w:color="auto"/>
            <w:bottom w:val="none" w:sz="0" w:space="0" w:color="auto"/>
            <w:right w:val="none" w:sz="0" w:space="0" w:color="auto"/>
          </w:divBdr>
        </w:div>
        <w:div w:id="433521116">
          <w:marLeft w:val="0"/>
          <w:marRight w:val="0"/>
          <w:marTop w:val="0"/>
          <w:marBottom w:val="0"/>
          <w:divBdr>
            <w:top w:val="none" w:sz="0" w:space="0" w:color="auto"/>
            <w:left w:val="none" w:sz="0" w:space="0" w:color="auto"/>
            <w:bottom w:val="none" w:sz="0" w:space="0" w:color="auto"/>
            <w:right w:val="none" w:sz="0" w:space="0" w:color="auto"/>
          </w:divBdr>
        </w:div>
        <w:div w:id="1798141916">
          <w:marLeft w:val="0"/>
          <w:marRight w:val="0"/>
          <w:marTop w:val="0"/>
          <w:marBottom w:val="0"/>
          <w:divBdr>
            <w:top w:val="none" w:sz="0" w:space="0" w:color="auto"/>
            <w:left w:val="none" w:sz="0" w:space="0" w:color="auto"/>
            <w:bottom w:val="none" w:sz="0" w:space="0" w:color="auto"/>
            <w:right w:val="none" w:sz="0" w:space="0" w:color="auto"/>
          </w:divBdr>
        </w:div>
        <w:div w:id="1488283042">
          <w:marLeft w:val="0"/>
          <w:marRight w:val="0"/>
          <w:marTop w:val="0"/>
          <w:marBottom w:val="0"/>
          <w:divBdr>
            <w:top w:val="none" w:sz="0" w:space="0" w:color="auto"/>
            <w:left w:val="none" w:sz="0" w:space="0" w:color="auto"/>
            <w:bottom w:val="none" w:sz="0" w:space="0" w:color="auto"/>
            <w:right w:val="none" w:sz="0" w:space="0" w:color="auto"/>
          </w:divBdr>
        </w:div>
        <w:div w:id="665401161">
          <w:marLeft w:val="0"/>
          <w:marRight w:val="0"/>
          <w:marTop w:val="0"/>
          <w:marBottom w:val="0"/>
          <w:divBdr>
            <w:top w:val="none" w:sz="0" w:space="0" w:color="auto"/>
            <w:left w:val="none" w:sz="0" w:space="0" w:color="auto"/>
            <w:bottom w:val="none" w:sz="0" w:space="0" w:color="auto"/>
            <w:right w:val="none" w:sz="0" w:space="0" w:color="auto"/>
          </w:divBdr>
        </w:div>
        <w:div w:id="2068607097">
          <w:marLeft w:val="0"/>
          <w:marRight w:val="0"/>
          <w:marTop w:val="0"/>
          <w:marBottom w:val="0"/>
          <w:divBdr>
            <w:top w:val="none" w:sz="0" w:space="0" w:color="auto"/>
            <w:left w:val="none" w:sz="0" w:space="0" w:color="auto"/>
            <w:bottom w:val="none" w:sz="0" w:space="0" w:color="auto"/>
            <w:right w:val="none" w:sz="0" w:space="0" w:color="auto"/>
          </w:divBdr>
        </w:div>
        <w:div w:id="1799451109">
          <w:marLeft w:val="0"/>
          <w:marRight w:val="0"/>
          <w:marTop w:val="0"/>
          <w:marBottom w:val="0"/>
          <w:divBdr>
            <w:top w:val="none" w:sz="0" w:space="0" w:color="auto"/>
            <w:left w:val="none" w:sz="0" w:space="0" w:color="auto"/>
            <w:bottom w:val="none" w:sz="0" w:space="0" w:color="auto"/>
            <w:right w:val="none" w:sz="0" w:space="0" w:color="auto"/>
          </w:divBdr>
        </w:div>
        <w:div w:id="346903606">
          <w:marLeft w:val="0"/>
          <w:marRight w:val="0"/>
          <w:marTop w:val="0"/>
          <w:marBottom w:val="0"/>
          <w:divBdr>
            <w:top w:val="none" w:sz="0" w:space="0" w:color="auto"/>
            <w:left w:val="none" w:sz="0" w:space="0" w:color="auto"/>
            <w:bottom w:val="none" w:sz="0" w:space="0" w:color="auto"/>
            <w:right w:val="none" w:sz="0" w:space="0" w:color="auto"/>
          </w:divBdr>
        </w:div>
        <w:div w:id="1125662701">
          <w:marLeft w:val="0"/>
          <w:marRight w:val="0"/>
          <w:marTop w:val="0"/>
          <w:marBottom w:val="0"/>
          <w:divBdr>
            <w:top w:val="none" w:sz="0" w:space="0" w:color="auto"/>
            <w:left w:val="none" w:sz="0" w:space="0" w:color="auto"/>
            <w:bottom w:val="none" w:sz="0" w:space="0" w:color="auto"/>
            <w:right w:val="none" w:sz="0" w:space="0" w:color="auto"/>
          </w:divBdr>
        </w:div>
        <w:div w:id="1993756410">
          <w:marLeft w:val="0"/>
          <w:marRight w:val="0"/>
          <w:marTop w:val="0"/>
          <w:marBottom w:val="0"/>
          <w:divBdr>
            <w:top w:val="none" w:sz="0" w:space="0" w:color="auto"/>
            <w:left w:val="none" w:sz="0" w:space="0" w:color="auto"/>
            <w:bottom w:val="none" w:sz="0" w:space="0" w:color="auto"/>
            <w:right w:val="none" w:sz="0" w:space="0" w:color="auto"/>
          </w:divBdr>
        </w:div>
        <w:div w:id="1519149904">
          <w:marLeft w:val="0"/>
          <w:marRight w:val="0"/>
          <w:marTop w:val="0"/>
          <w:marBottom w:val="0"/>
          <w:divBdr>
            <w:top w:val="none" w:sz="0" w:space="0" w:color="auto"/>
            <w:left w:val="none" w:sz="0" w:space="0" w:color="auto"/>
            <w:bottom w:val="none" w:sz="0" w:space="0" w:color="auto"/>
            <w:right w:val="none" w:sz="0" w:space="0" w:color="auto"/>
          </w:divBdr>
        </w:div>
      </w:divsChild>
    </w:div>
    <w:div w:id="359084519">
      <w:bodyDiv w:val="1"/>
      <w:marLeft w:val="0"/>
      <w:marRight w:val="0"/>
      <w:marTop w:val="0"/>
      <w:marBottom w:val="0"/>
      <w:divBdr>
        <w:top w:val="none" w:sz="0" w:space="0" w:color="auto"/>
        <w:left w:val="none" w:sz="0" w:space="0" w:color="auto"/>
        <w:bottom w:val="none" w:sz="0" w:space="0" w:color="auto"/>
        <w:right w:val="none" w:sz="0" w:space="0" w:color="auto"/>
      </w:divBdr>
    </w:div>
    <w:div w:id="1062027430">
      <w:bodyDiv w:val="1"/>
      <w:marLeft w:val="0"/>
      <w:marRight w:val="0"/>
      <w:marTop w:val="0"/>
      <w:marBottom w:val="0"/>
      <w:divBdr>
        <w:top w:val="none" w:sz="0" w:space="0" w:color="auto"/>
        <w:left w:val="none" w:sz="0" w:space="0" w:color="auto"/>
        <w:bottom w:val="none" w:sz="0" w:space="0" w:color="auto"/>
        <w:right w:val="none" w:sz="0" w:space="0" w:color="auto"/>
      </w:divBdr>
      <w:divsChild>
        <w:div w:id="580797936">
          <w:marLeft w:val="0"/>
          <w:marRight w:val="0"/>
          <w:marTop w:val="0"/>
          <w:marBottom w:val="0"/>
          <w:divBdr>
            <w:top w:val="none" w:sz="0" w:space="0" w:color="auto"/>
            <w:left w:val="none" w:sz="0" w:space="0" w:color="auto"/>
            <w:bottom w:val="none" w:sz="0" w:space="0" w:color="auto"/>
            <w:right w:val="none" w:sz="0" w:space="0" w:color="auto"/>
          </w:divBdr>
        </w:div>
        <w:div w:id="4776544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1451</TotalTime>
  <Pages>4</Pages>
  <Words>4307</Words>
  <Characters>2455</Characters>
  <Application>Microsoft Office Word</Application>
  <DocSecurity>0</DocSecurity>
  <Lines>20</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Natālija Slaidiņa</dc:creator>
  <cp:keywords/>
  <dc:description/>
  <cp:lastModifiedBy>Natālija Slaidiņa</cp:lastModifiedBy>
  <cp:revision>15</cp:revision>
  <dcterms:created xsi:type="dcterms:W3CDTF">2023-03-28T12:20:00Z</dcterms:created>
  <dcterms:modified xsi:type="dcterms:W3CDTF">2023-04-19T09:16:00Z</dcterms:modified>
</cp:coreProperties>
</file>