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(ex-ante) novērtējuma ziņojuma (anotācijas) 1.3.sadaļas 9.punktā norādīts, ka izslēgšanas nosacījumu kontrole tiek veikta, pārbaudot attiecīgās personas sodāmību Latvijas Republikas Uzņēmumu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ziņas par personas sodāmību tiek apstrādātas Iekšlietu ministrijas Informācijas centra pārziņā esošajā valsts informācijas sistēmā “Sodu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1.3.sadaļas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sākotnējās ietekmes (ex-ante) novērtējuma ziņojuma (anotācijas) (turpmāk – anotācija) 1.3.sadaļas 9.punkta izriet, ka izslēgšanas nosacījumi ir attiecināmi uz gala labuma guvēju, kurš pats, tā valdes vai padomes loceklis, prokūrists vai persona, kura ir pilnvarota pārstāvēt gala labuma guvēja darbībās, kas saistītas ar filiāli, ir sodīts par administratīvā pārkāpuma vai noziedzīga nodarījuma izdarīšanu.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49.punkta ievaddaļas izriet, ka izslēgšanas nosacījumi ir attiecināmi tikai uz pašu gala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no tiesiskās noteiktības principa izriet prasība, ka tiesību normai, kas nosaka personas pamattiesību ierobežojumus, jābūt skaidrai un pēc iespējas precīzai (sk. Satversmes tiesas 2010.gada 20.decembra sprieduma lietā Nr. 2010-44-01 11.punktu). Tiesību normas izdevēja pienākums ir rūpēties par to, lai tiesību norma tiktu formulēta tik nepārprotami, ka to varētu pareizi interpretēt un piemērot, bet indivīds varētu apzināties tās piemērošanas tiesiskās sekas </w:t>
            </w:r>
            <w:r w:rsidR="00000000" w:rsidRPr="00000000" w:rsidDel="00000000">
              <w:rPr>
                <w:i w:val="1"/>
                <w:rtl w:val="0"/>
              </w:rPr>
              <w:t xml:space="preserve">(sk. Satversmes tiesas 2010.gada 19.jūnija sprieduma lietā Nr. 2010-02-01 9.4.2.punktu un 2011.gada 11.maija sprieduma lietā Nr. 2010-55-0106 13.1.punktu).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projektu ar papildus grozījumu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49.punkta ievaddaļā vai precizēt projekta anotācijas 1.3.sadaļas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49.1.4.2.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326.</w:t>
            </w:r>
            <w:r w:rsidR="00000000" w:rsidRPr="00000000" w:rsidDel="00000000">
              <w:rPr>
                <w:vertAlign w:val="superscript"/>
                <w:rtl w:val="0"/>
              </w:rPr>
              <w:t xml:space="preserve">2 </w:t>
            </w:r>
            <w:r w:rsidR="00000000" w:rsidRPr="00000000" w:rsidDel="00000000">
              <w:rPr>
                <w:rtl w:val="0"/>
              </w:rPr>
              <w:t xml:space="preserve">un 326.</w:t>
            </w:r>
            <w:r w:rsidR="00000000" w:rsidRPr="00000000" w:rsidDel="00000000">
              <w:rPr>
                <w:vertAlign w:val="superscript"/>
                <w:rtl w:val="0"/>
              </w:rPr>
              <w:t xml:space="preserve">3</w:t>
            </w:r>
            <w:r w:rsidR="00000000" w:rsidRPr="00000000" w:rsidDel="00000000">
              <w:rPr>
                <w:rtl w:val="0"/>
              </w:rPr>
              <w:t xml:space="preserve"> panta nosaukumā norādīto, aizstāt projekta 40.punktā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49.1.4.2.apakšpunktā vārdus “prettiesiska labuma” ar vārdiem “prettiesiska labumu”.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49.1.4.2.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198.panta nosaukumā norādīto, aizstāt projekta 40.punktā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49.1.4.2.apakšpunktā vārdus “neatļauta labuma” ar vārdiem “neatļauta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49.1.4.4. izvairīšanās no nodokļu un tiem pielīdzināto maksājumu samaksas;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218.panta nosaukumā norādīto, aizstāt projekta 40.punktā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49.1.4.4.apakšpunktā vārdus “maksājumu samaksas” ar vārdiem “maksājumu nomaksas”.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49.1.4.5. terorisms, terorisma finansēšana, teroristu grupas izveide vai organizēšana, ceļošana terorisma nolūkā, terorisma attaisnošana, aicinājums uz terorismu, terorisma draudi vai personas vervēšana un apmācība terora aktu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4</w:t>
            </w:r>
            <w:r w:rsidR="00000000" w:rsidRPr="00000000" w:rsidDel="00000000">
              <w:rPr>
                <w:rtl w:val="0"/>
              </w:rPr>
              <w:t xml:space="preserve"> panta nosaukumā norādīto, aizstāt projekta 40.punktā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49.1.4.5.apakšpunktā vārdus “un apmācība terora aktu veikšanai” ar vārdiem “apmācīšana un apmācīšanās terorismam”.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49.2.2.2. kukuļņemšana, kukuļdošana, kukuļa piesavināšanās, starpniecība kukuļošanā, neatļauta labuma pieņemšana vai komerciāla uzpirkšana, prettiesiska labuma pieprasīšana, pieņemšana vai došana, tirgošanās ar ietekmi;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326.</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panta nosaukumā norādīto, aizstāt projekta 41.punktā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49.2.2.2.apakšpunktā vārdus “prettiesiska labuma” ar vārdiem “prettiesiska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49.2.2.2. kukuļņemšana, kukuļdošana, kukuļa piesavināšanās, starpniecība kukuļošanā, neatļauta labuma pieņemšana vai komerciāla uzpirkšana, prettiesiska labuma pieprasīšana, pieņemšana vai došana, tirgošanās ar ietekmi;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198.panta nosaukumā norādīto, aizstāt projekta 41.punktā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49.2.2.2.apakšpunktā vārdus “neatļauta labuma” ar vārdiem “neatļauta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49.2.2.4. izvairīšanās no nodokļu un tiem pielīdzināto maksājumu samaksas;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218.panta nosaukumā norādīto, aizstāt projekta 41.punktā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49.2.2.4.apakšpunktā vārdus “maksājumu samaksas” ar vārdiem “maksājumu nomaksas”.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49.2.2.5. terorisma finansēšana, teroristu grupas izveide vai organizēšana, ceļošana terorisma nolūkā, terorisma attaisnošana, aicinājums uz terorismu, terorisma draudi vai personas vervēšana un apmācība terora aktu veikšanai;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4</w:t>
            </w:r>
            <w:r w:rsidR="00000000" w:rsidRPr="00000000" w:rsidDel="00000000">
              <w:rPr>
                <w:rtl w:val="0"/>
              </w:rPr>
              <w:t xml:space="preserve"> panta nosaukumā norādīto, aizstāt projekta 41.punktā ietvertajā Ministru kabineta 2022.gada 13.septembra noteikumu Nr.577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 49.2.2.5.apakšpunktā vārdus “un apmācība terora aktu veikšanai” ar vārdiem “apmācīšana un apmācīšanās terorismam”.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12.04.2023. 19.59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12.04.2023. 19.59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Atzinumi_23-TA-325.docx</dc:title>
</cp:coreProperties>
</file>

<file path=docProps/custom.xml><?xml version="1.0" encoding="utf-8"?>
<Properties xmlns="http://schemas.openxmlformats.org/officeDocument/2006/custom-properties" xmlns:vt="http://schemas.openxmlformats.org/officeDocument/2006/docPropsVTypes"/>
</file>