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tabulu papildināt ar informāciju par Komisijas 2023. gada 13. decembra Regulas (ES) Nr. 2023/2831 par Līguma par Eiropas Savienības darbību 107. un 108. panta piemērošanu de minimis atbalstam 5. panta prasību ieviešanu noteikumu projekta 25.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54.1.15. sniegt priekšlikumus viedās specializācijas ilgtermiņa stratēģijas pilnveidošanā un darbības plāna precizēšanā;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priekšlikumu sniegšanu viedās specializācijas ilgtermiņa stratēģijas pilnveidošanā un darbības plāna precizēšanā norādīt pie kompetences centra tiesībām attiecīgo Ministru kabineta noteikumu 54.2. apakšpunktā, nevis pienākumiem, jo no noteikumu projekta un tā anotācijas neizriet, kā tiks pārbaudīts, vai konkrētos apstākļos priekšlikumi bija jāsniedz, turklāt obligāta priekšlikumu sniegšana bez objektīvas nepieciešamības to darīt ir lieks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54.1.21. līdz 2026. gada 30. jūnijam apstiprināt pētniecības projektus par vismaz 2 815 000 </w:t>
            </w:r>
            <w:r w:rsidR="00000000" w:rsidRPr="00000000" w:rsidDel="00000000">
              <w:rPr>
                <w:i w:val="1"/>
                <w:rtl w:val="0"/>
              </w:rPr>
              <w:t xml:space="preserve">euro</w:t>
            </w:r>
            <w:r w:rsidR="00000000" w:rsidRPr="00000000" w:rsidDel="00000000">
              <w:rPr>
                <w:rtl w:val="0"/>
              </w:rPr>
              <w:t xml:space="preserve"> no šo noteikumu </w:t>
            </w:r>
            <w:r w:rsidR="00000000" w:rsidRPr="00000000" w:rsidDel="00000000">
              <w:rPr>
                <w:rtl w:val="0"/>
              </w:rPr>
              <w:t xml:space="preserve">102.</w:t>
            </w:r>
            <w:r w:rsidR="00000000" w:rsidRPr="00000000" w:rsidDel="00000000">
              <w:rPr>
                <w:rtl w:val="0"/>
              </w:rPr>
              <w:t xml:space="preserve"> 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kompetences centru pienākumu līdz 2026. gada 30. jūnijam apstiprināt pētniecības projektus par vismaz 2 815 000 euro, jo minētais pienākums varētu būt pretrunā ar šajos noteikumos noteikto, ka pētniecības projektus apstiprina vienīgi gadījumos, ja tie atbilst šo noteikumu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13.06.2024.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13.06.2024.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Atzinumi_24-TA-204.docx</dc:title>
</cp:coreProperties>
</file>

<file path=docProps/custom.xml><?xml version="1.0" encoding="utf-8"?>
<Properties xmlns="http://schemas.openxmlformats.org/officeDocument/2006/custom-properties" xmlns:vt="http://schemas.openxmlformats.org/officeDocument/2006/docPropsVTypes"/>
</file>