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datu apstrādes, glabāšanas un 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18.7. apakšpunkta redakciju, lai projekta piemērotājam būtu nepārprotami saprotams, par kādu datu apstrādi nepieciešams izstrādāt kārtību. No anotācijas saprotams, ka projekta tālākai realizēšanai var tikt apstrādāti fizisko personu dati par personām, kuras var tikt iesaistītas 4.2.3.1. pasākumā, detalizētu datu apstrādes politiku izstrādās finansējuma saņēmējs. Skaidrojam, ka "apstrāde" ir jebkura ar personas datiem vai personas datu kopumiem veikta darbība vai darbību kopums, kas ietver tādas darbības kā vākšanu, glabāšanu, dzēšanu, nosūtīšanu u.tt. Ņemot vērā, ka no projekta 18.7. apakšpunkta redakcijas nav viennozīmīgi skaidrs, par ko un kāda kārtība būtu izstrādājama, aicinām precizēt to, norādot, ka nepieciešams noteikt 4.2.3.1. pasākuma īstenošanai nepieciešamos fizisko personu datus un to apstrādes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fizisko personu datu apstrādi veic atbilstoši Eiropas Parlamenta un Padomes 2016. gada 27. aprīļa Regulas 2016/679 par fizisku personu aizsardzību attiecībā uz personas datu apstrādi un šādu datu brīvu apriti un ar ko atceļ Direktīvu 95/46/EK (Vispārīgā datu aizsardzības regula) 6. panta 1. punkta "e" apakšpunktu, 9. panta 2. punkta "b" apakšpunktu un Fizisko personu datu apstrādes likuma prasībām. Atbilstoši minētās regulas un Fizisko personu datu apstrādes likuma prasībām tiks ievēroti personas datu apstrādes principi un datu apstrādes likumīgums.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33.7. apakšpunktu. Vēršam uzmanību, ka fizisko personu datu aizsardzību regulējošos normatīvo aktu prasības pārzinim ir jāievēro neatkarīgi no tā, vai tas papildu tiek noteikts speciālajā normatīvajā aktā. Ietverot projektā pārziņa pienākumu ievērot Vispārīgās datu aizsardzības regulas prasības, pēc būtības tiek radīts apdraudējums minētās regulas tiešai piemērošanai, kas ir pretrunā Līguma par Eiropas Savienības darbību 288. pantam. Tāpat norādām, ka fizisko personu datu aizsardzību regulē arī citi normatīvie akti, ne tikai Vispārīgā datu aizsardzības regula un Fizisko personu datu apstrādes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25.04.2024.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25.04.2024.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