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 sadaļā norādīt nevis atsauci uz 2022.gada budžeta likumu, bet precizēt to uz 2023.gada budžeta likumu, ka arī visā anotācijas tekstā precizēt budžeta likuma nosaukumu, jo tas ir likums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2022.gadā, veicot grozījumus šajos noteikumos, tika norādīts, ka noteikumu īstenošanai pieejams ELFLA finansējums ar 100% likmi, kurš apstiprināts ar Ministru kabineta 2021. gada 4. februāra protokollēmumu (prot. Nr. 12 28.§) “Informatīvais ziņojums “Par Latvijas Lauku attīstības programmas 2014.–2020. gadam pārejas periodu””. Ņemot vērā minēto, lūdzam anotācijas 3.sadaļā attiecībā uz ELFLA finansējumu 5 000 000 euro apmērā precizēt sniegto informāciju par norādīto līdzfinansējuma likmi vai arī skaidrot, kāpēc situācija attiecībā pret iepriekšējo gadu ir mainījusies.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ailē “saskaņā ar valsts budžetu kārtējam gadam” precizēt 1.1.apakšpunktā norādīto apmēru, norādot tajā arī Zemkopības ministrijas budžeta apakšprogrammā 21.01.00 “Valsts atbalsts lauksaimniecības un lauku attīstībai” plānoto finansējumu noteikumu projekta īstenošanai saskaņā ar likumu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 Atbalstu īstermiņa un ilgtermiņa aizdevuma vai finanšu līzinga kredītprocentu dzēšanai piešķir pretendentam, ja tas nodarbojas ar zvejniecību, akvakultūru vai to produktu apstrādi atbilstoši saimnieciskās darbības statistiskās klasifikācijas (</w:t>
            </w:r>
            <w:r w:rsidR="00000000" w:rsidRPr="00000000" w:rsidDel="00000000">
              <w:rPr>
                <w:i w:val="1"/>
                <w:rtl w:val="0"/>
              </w:rPr>
              <w:t xml:space="preserve">NACE </w:t>
            </w:r>
            <w:r w:rsidR="00000000" w:rsidRPr="00000000" w:rsidDel="00000000">
              <w:rPr>
                <w:rtl w:val="0"/>
              </w:rPr>
              <w:t xml:space="preserve">2. red.) kodiem – tikai grupa 03 vai grupa 03 un grupa 10.2 – saskaņā ar Komisijas regulu Nr. 717/2014 un ja tas darbojas atbilstoši saimnieciskās darbības statistiskās klasifikācijas (</w:t>
            </w:r>
            <w:r w:rsidR="00000000" w:rsidRPr="00000000" w:rsidDel="00000000">
              <w:rPr>
                <w:i w:val="1"/>
                <w:rtl w:val="0"/>
              </w:rPr>
              <w:t xml:space="preserve">NACE </w:t>
            </w:r>
            <w:r w:rsidR="00000000" w:rsidRPr="00000000" w:rsidDel="00000000">
              <w:rPr>
                <w:rtl w:val="0"/>
              </w:rPr>
              <w:t xml:space="preserve">2. red.) kodiem – grupa 10.2. vai 10.41 – saskaņā ar Komisijas regulu Nr. 1407/2013. Atbalsta saņēmējs nodrošina Komisijas regulas Nr. 717/2014 1. panta 2. un 3. punktā vai Komisijas regulas Nr. 1407/2013 1. panta 2. punktā minēto prasību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regulu Nr. 1407/2013 nepiemēro atbalstam, ko piešķir uzņēmumiem, kuri darbojas zvejniecības un akvakultūras nozarē, uz ko attiecas Padomes Regula (EK) Nr. 104/2000, lūdzam precizēt šo punktu svītrojot atsauci uz Komisijas regulu Nr. 1407/2013 un piemērot citu atbilstošo komercdarbības atbalsta regulējumu. Vielaikus lūdzam pārskatīt noteikumus un dzēst nosacījumu, ka šo noteikumu 34.</w:t>
            </w:r>
            <w:r w:rsidR="00000000" w:rsidRPr="00000000" w:rsidDel="00000000">
              <w:rPr>
                <w:vertAlign w:val="superscript"/>
                <w:rtl w:val="0"/>
              </w:rPr>
              <w:t xml:space="preserve">4</w:t>
            </w:r>
            <w:r w:rsidR="00000000" w:rsidRPr="00000000" w:rsidDel="00000000">
              <w:rPr>
                <w:rtl w:val="0"/>
              </w:rPr>
              <w:t xml:space="preserve"> minētajām darbībām atbalstu sniedz saskaņā ar Komisijas regulu Nr. 1407/2013.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digitālās platformas izmantošanas iespēju attīstību un paplašināšanu, proti, kas tieši tiks attīstīts un vai ir paredzēta papildinātība ar citiem Zemkopības ministrijas digitālajiem risinājumiem. Lūdzam skaidrot, vai šāda veida ieguldījumiem ir plānots arī 2021.-2027. gada plānošanas perioda ES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22.03.2023.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22.03.2023.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Atzinumi_23-TA-132.docx</dc:title>
</cp:coreProperties>
</file>

<file path=docProps/custom.xml><?xml version="1.0" encoding="utf-8"?>
<Properties xmlns="http://schemas.openxmlformats.org/officeDocument/2006/custom-properties" xmlns:vt="http://schemas.openxmlformats.org/officeDocument/2006/docPropsVTypes"/>
</file>