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augsto letālo un smago nelaimes gadījumu skaitu darba vidē, kā arī to, ka pēdējais novērtējums par darba apstākļiem un riskiem Latvijā attiecas uz 2019.–2021. gada periodu[1], ir nepieciešama atkārtota situācijas analīze (plānota 2027. gadā). Tā jāveic, lai izvērtētu Darba aizsardzības jomas attīstības plāna 2021.-2023. gadam ietvaros līdz šim īstenoto pasākumu efektivitāti, novērtētu iepriekšējo ieteikumu ieviešanas progresu un sagatavotu pamatotas rekomendācijas nākamajam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izvērtēt, vai atkārtotu situācijas analīzi būtu iespējams veikt agrāk, jo 2026.-2027.gadā norisinās nākamā plānošanas perioda dokumentu izstrāde un būs nepieciešamas politikas rekomendācijas arī šajā jomā.  Papildus, nav saprotama atsauce uz Darba aizsardzības jomas attīstības plāna 2021.-2023. gadam īstenoto pasākumu efektivitātes un progresa izvērtējumu, jo jau 2024. gadā tika pieņemts jauns   Darba aizsardzības jomas attīstības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apstākļi un riski Latvijā 2019–2021, Personu Rīgas Stradiņa universitāte un SIA “TNS Latvia” apvienība, 2023, https://ppdb.mk.gov.lv/database/darba-apstakli-un-riski-latvija-2019-2021/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lielākoties izaicinājumu aktualitāte saglabājas un politikas rezultāti netiek sasniegti, ziņojuma kvalitātes uzlabošanai ieteicams veikt šādus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nepieciešams skaidrāk izklāstīt, kāpēc atsevišķi rezultatīvie rādītāji nav sasniegti vai stagnē un izaicinājumi saglabājas vai pieaug, identificējot šo tendenču cēloņus. Pašreizējais apraksts ir pārsvarā faktoloģisks un ietver detalizētu informāciju par pasākumu izpildi un darbības rezultātiem, bet tajā pietrūkst sasaistes ar politikas rezultātu sasniegšanu vai nesasniegšanu. Nav pietiekami analizēts, kāpēc rādītāji stagnē vai pasliktinās, un kā konkrētie pasākumi ir ietekmējuši (vai nav ietekmējuši) rezultātus. Šobrīd rādītāji tiek uzskaitīti, taču netiek sniegts skaidrojums par to dinamiku un cēloņiem. Būtu vēlams vērtēt, kas tieši būtu jāmaina rīcībpolitikā un vai tas tiks darīts, trūkst konkrētu politikas priekšlikumu, alternatīvu scenāriju. Šādas informācijas iekļaušana būtiski stiprinātu ziņojuma praktisko pielietojamību un tā vērtību kā politikas plānošanas instrumentam.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09.01.2026.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09.01.2026.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