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un kapitāla tirgus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30.11.2022.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30.11.2022.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