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iestāžu nodarīto zaudējumu atlīdzināšanas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pārvaldes iestāžu nodarīto zaudējumu atlīdzināšanas likumā (Latvijas Republikas Saeimas un Ministru Kabineta Ziņotājs, 2005, 13. nr.; Latvijas Vēstnesis, 2010, 206. nr.; 2011, 112. nr.; 2012, 172. nr.; 2013, 188. nr.; 2018, 41.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visā likumā vārdus “mantiskais zaudējums” (attiecīgā locījumā) ar vārdu “zaudējums”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visā likumā vārdu “noraksts” (attiecīgā locījumā) ar vārdu "atvasinājums"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Aizstāt 2. panta trešajā daļā vārdus “mantisko zaudējumu un” ar vārdu “arī”.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Zaudējums ir arī tāds mantiski novērtējams pametums, kas saistīts ar administratīvā akta atcelšanu, iestādes faktiskās rīcības novēršanu vai tās seku likvidēšanu, zaudējuma samazināšanu vai likvidēšanu. Zaudējums aptver arī izmaksas, kas saistītas ar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8. panta 2. punktā vārdus “komercnoslēpuma, autortiesību”.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Izmaksas par juridisko palīdzību atlīdzina atbilstoši normatīvajos aktos par valsts nodrošinātās juridiskās palīdzības samaksu administratīvajās lietās noteiktajiem veidiem un apmēram. Izņēmuma gadījumā iestāde vai tiesa var noteikt atlīdzināmo izdevumu apmēru, kas pārsniedz normatīvajos aktos par valsts nodrošinātās juridiskās palīdzības samaksu administratīvajās lietās noteikto apmēru, ja šie izdevumi ir bijuši objektīvi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Zaudējuma atlīdzībai, kas nav atlīdzība par mantai nodarītiem zaudējumiem, piemēro Centrālās statistikas pārvaldes noteikto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16.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var norādīt arī pierādījumus, kas apliecina zaudējuma nodarīšanas faktu un zaudējuma apmēru, un iesniegumam pievieno attiecīgo dokumentu atvasinājumus, uzrādot šo dokumentu oriģinālus vai noteiktā kārtībā apliecinātus atvasinājumus. Ja iesniegums nosūtīts pa pastu, tam pievieno noteiktā kārtībā apliecinātus dokumentu atvasinājumus.”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“bet iesnieguma kopiju nosūta Vides aizsardzības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privātpersonas iesniegumu par zaudējuma atlīdzinājumu saņem pašvaldības iestāde, kas ar savu rīcību, pildot pašvaldības autonomās funkcijas vai uzdevumus, vai īstenojot savu brīvprātīgo iniciatīvu, nodarījusi zaudējumu, tā nekavējoties pārsūta iesniegumu attiecīgās pašvaldības domes noteiktai funkcionāli augstākai iestādei (lēmējiestādei) vai pašvaldības 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vārdus “bet iesnieguma kopiju nosūta Vides aizsardzības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“Vides aizsardzības un reģionālās attīstības ministrijai” ar vārdiem “Viedās administrācijas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Izslēgt 20. panta pirmajā, otrajā un trešajā daļā vārdus “bet iesnieguma kopiju nosūta ministrijai, kurai attiecīgā atvasināta publisko tiesību juridiskā persona ir padota”.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pret likumprojekta 5.pantu, ar ko paredzēts izslēgt 8. panta 2. punktā vārdus “komercnoslēpuma, autortiesību”.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satur pamatojumu par vārda "autortiesību" izslēgšanas nepieciešamību, kas ir saprotams un atbalstāms (autortiesības kā nemantiskas autora personiskās tiesības piemīt tikai fiziskām personām un attiecīgi juridiskai personai nevar radīt nemantisko kaitējumu, aizskarot tās autortiesības), tomēr nevaram piekrist skaidrojumam par vārda "komercnoslēpuma" izslēgšanas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anotācijā ir pareizi norādīts, ka Komercnoslēpuma aizsardzības likuma 11. panta pirmā daļa paredz komercnoslēpuma turētāja tiesības uz nemantiskā kaitējuma atlīdzību (var ietvert atsauci uz komernoslēpumu kā vienu no nemantiskā kaitējuma veidiem VPINZAL), tomēr anotācijā norādītais pamatojums, ka VPINZAL dublē Komercnoslēpuma aizsardzības likumā esošo speciālo regulējumu par kaitējuma atlīdzību, nav pietiekams, jo ar tādu pašu pamatojumu VPINZAL varētu vispār atcelt, jo tas "dublē" zaudējumu piedziņas regulējumu, ko satur, piemēram, Civillikums.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VPINZAL 2.panta pirmajā daļā ir noteikts, ka likums paredz: 1) zaudējuma atlīdzinājuma pamata un apmēra noteikšanas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w:t>
            </w:r>
            <w:r w:rsidR="00000000" w:rsidRPr="00000000" w:rsidDel="00000000">
              <w:rPr>
                <w:b w:val="1"/>
                <w:rtl w:val="0"/>
              </w:rPr>
              <w:t xml:space="preserve">iestāde</w:t>
            </w:r>
            <w:r w:rsidR="00000000" w:rsidRPr="00000000" w:rsidDel="00000000">
              <w:rPr>
                <w:rtl w:val="0"/>
              </w:rPr>
              <w:t xml:space="preserve">: a) izvērtē zaudējuma atlīdzinājuma gadījumus, b) pieņem lēmumu par zaudējuma atlīdzinājumu, c) nodrošina uz naudas maksājumu vērsta iestādes lēmuma vai tiesas nolēmuma par zaudējuma atlīdzinājumu izpildi. Savukārt Komercnoslēpuma aizsardzības likuma mērķis ir vispārējs - nodrošināt komercnoslēpuma efektīvu aizsardzību, it īpaši pret tā nelikumīgu iegūšanu, izmantošanu vai izpaušanu, turklāt 11.panta trešā daļa paredz, ka nemantiskā kaitējuma atlīdzības apmēru nosaka </w:t>
            </w:r>
            <w:r w:rsidR="00000000" w:rsidRPr="00000000" w:rsidDel="00000000">
              <w:rPr>
                <w:b w:val="1"/>
                <w:rtl w:val="0"/>
              </w:rPr>
              <w:t xml:space="preserve">tiesa </w:t>
            </w:r>
            <w:r w:rsidR="00000000" w:rsidRPr="00000000" w:rsidDel="00000000">
              <w:rPr>
                <w:rtl w:val="0"/>
              </w:rPr>
              <w:t xml:space="preserve">pēc sava ieskata, t.i., Komercnoslēpuma aizsardzības likums, pirmkārt, ir paredzēts plašākam gadījumu lokam, primāri risinot jautājumus par tiesību aizskārumu privātpersonu starpā, bet VPINZAL risina konkrēti publisku personu veiktu privātpersonu tiesību aizskārumu, kā arī Komercnoslēpuma aizsardzības likums nesatur publiskām iestādēm precīzu pilnvarojumu izvērtēt nemantisko kaitējumu komercnoslēpuma aizskāruma gadījumā. VPINZAL  un Komercnoslēpuma aizsardzības likuma objekts nav identisks un šo likumu regulējums nedublējas.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8. panta 2. punktā vārdu “autortiesību”.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26.06.2024. 20.15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26.06.2024. 20.15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Atzinumi_23-TA-571.docx</dc:title>
</cp:coreProperties>
</file>

<file path=docProps/custom.xml><?xml version="1.0" encoding="utf-8"?>
<Properties xmlns="http://schemas.openxmlformats.org/officeDocument/2006/custom-properties" xmlns:vt="http://schemas.openxmlformats.org/officeDocument/2006/docPropsVTypes"/>
</file>