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2.1.1. specifiskā atbalsta mērķa “Energoefektivitātes veicināšana un siltumnīcefekta gāzu emisiju samazināšana” 2.1.1.3. pasākuma “AER izmantošana un energoefektivitātes paaugstināšana centralizētajā siltumapgādē un aukstumapgādē” otrās 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Izziņas 39.punktā pie Labklājības ministrijas (LM) priekšlikuma ir sniegts KEM skaidrojums, ka LM priekšlikums par anotācijas 8.2. punktu</w:t>
            </w:r>
            <w:r w:rsidR="00000000" w:rsidRPr="00000000" w:rsidDel="00000000">
              <w:rPr>
                <w:b w:val="1"/>
                <w:rtl w:val="0"/>
              </w:rPr>
              <w:t xml:space="preserve"> ir ņemts vērā, </w:t>
            </w:r>
            <w:r w:rsidR="00000000" w:rsidRPr="00000000" w:rsidDel="00000000">
              <w:rPr>
                <w:rtl w:val="0"/>
              </w:rPr>
              <w:t xml:space="preserve">tomēr  precizētajā anotācijā 8.2. punkts nav papildināts. Attiecīgi lūdzam  rast iespēju precizēt 8.2. sadaļu atbilstoši Labklājības ministrijas 28.11.2024. sniegtajam priekšlikumam.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Vilcāne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06.12.2024.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06.12.2024.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