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749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nodrošina komunikācijas un vizuālās identitātes prasību nodrošināšanas pasākumus saskaņā ar  Regulas Nr. 2021/1060 47. un 50. pantu un normatīvajiem aktiem, kas nosaka kārtību, kādā Eiropas Savienības fondu vadībā iesaistītās institūcijas nodrošina šo fondu ieviešanu 2021.–2027. gada plānošanas periodā, kā arī ievēro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projekta 25.4. apakšpunktā ir iekļauta atsauce uz nesaistošiem dokumentiem (vadlīnijām), kas neatbilst juridiskās tehnikas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noteikumu projekta tekstā svītrot atsauci uz vadlīnijām un attiecīgo informāciju iekļaut anotācijā. Papildus norādām, ka zemāk piedāvātā redakcija par komunikācijas un vizuālās identitātes prasību piemērošanu ir saskaņota ar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komunikācijas un vizuālās identitātes prasību nodrošināšanas pasākumus saskaņā ar  Regulas Nr. 2021/1060 47. un 50. pantu un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01.10.2025.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01.10.2025.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Atzinumi_25-TA-1092.docx</dc:title>
</cp:coreProperties>
</file>

<file path=docProps/custom.xml><?xml version="1.0" encoding="utf-8"?>
<Properties xmlns="http://schemas.openxmlformats.org/officeDocument/2006/custom-properties" xmlns:vt="http://schemas.openxmlformats.org/officeDocument/2006/docPropsVTypes"/>
</file>