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informatīvā ziņojuma sadaļā "3.3. Latvijas tendences" (41.lpp. beigās) minēto informāciju par ūdeņraža izmantošanas iespēju koģenerācijas stacijās ar informāciju par to enerģētisko efektivitāti (ņemot vērā, ka koģenerācija ļauj samazināt enerģijas zaudējumus) un ekonomisko efektivitāti (ietaupījumi saistībā ar tīkla balansēšanu).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ir minētas vairākas nozares, lūdzam informatīvā ziņojuma sadaļā "1.8. Rezultatīvie rādītāji" (16.lpp.) precizēt trešo rādītāju "Līdz 2030. gadam piesaistīto investīciju apjoms nozarē sasniedz vismaz 300 milj. euro", kurā nozarē piesaistīto investīciju apjomam jāsasniedz vismaz 300 milj. euro līdz 2030. gadam un kurš gads ir atskaites punkts šim rādītājam.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informatīvo ziņojumu (12. lpp. otrā rindkopa) ar informāciju par potenciālas "CO₂ krātuves Latvijā" ietekmi uz SEG emisijām. Vai "CO₂ krātuvēm" tiktu piemērots kāds noplūdes koeficients saistībā ar iespējamam noplūdēm gāzes sadales un pārvades sistēmās, kā arī gāzes krātuvē.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“uztverta oglekļa dioksīda tālāku izmantošanas" ietekmi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pārbaudīt informatīvā ziņojuma "3.2. ES tendences'' sadaļā pirmajā rindkopā (38.lpp.) minēto, ka tieša elektrifikācija nav iespējama, piemēram, [..] cementa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ir aprobēta elektrolīzes metode cementa ražošana*, kas nozīme, ka elektrifikācija ir iespējama cementa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teorētiski pastāv alternatīvas iespējas samazināt SEC emisijas cementa ražošanā, aicinām pārskatīt 11.lpp. priekšpēdējā rindkopā minēto informāciju: "[..] cementa ražotājam Schwenk , kura ražošana nākotnē var nebūt ekonomiski pamatota bez CO2 uztveršanas un uzglabāšanas risinājuma. [..] sākot ar 2040. gadu visām šādām rūpnīcām Eiropā saimnieciskā darbība, iespējams, būs jāpārtrauc, jo emisiju kvotas var nebūt pieejamas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https://news.mit.edu/2019/carbon-dioxide-emissions-free-cement-0916 (jaunāka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https://www.ipmi.org/news/electrochemical-process-transforms-cement-production)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38.lpp. precizēt </w:t>
            </w:r>
            <w:r w:rsidR="00000000" w:rsidRPr="00000000" w:rsidDel="00000000">
              <w:rPr>
                <w:i w:val="1"/>
                <w:rtl w:val="0"/>
              </w:rPr>
              <w:t xml:space="preserve">Carbon Border Adjustment Mechanism</w:t>
            </w:r>
            <w:r w:rsidR="00000000" w:rsidRPr="00000000" w:rsidDel="00000000">
              <w:rPr>
                <w:rtl w:val="0"/>
              </w:rPr>
              <w:t xml:space="preserve"> tulkojumu latviski. Atbilstoši Eiropas Parlamenta un Padomes 2023.gada 10.maija Regulai 2023/956/ES, ar ko izveido oglekļa ievedkorekcijas mehānismu, vārdu "robežkorekcijas" ir nepieciešams aizstāt ar vārdu "ievedkorekcijas".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informāciju, lūdzam veikt atsevišķus tehniskus/redakcionālus precizējumus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informatīvā ziņojuma  saīsinājumu sarakstu ar “ES fondi”, skaidrojot, kādas investīcijas vai fondi tiek saprasti ar šo apzīmējumu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informatīvā ziņojuma 1.6.sadaļas “Aktivitātes” apakšsadaļā 5.uzdevums “Uzlabot darbaspēka kvalifikāciju un prasmes” Eiropas Sociālā fonda Plus nosaukumu, ņemot vērā, ka ES fondu 2014.-2020.gada plānošanas periods ir noslēdzies un sākot ar ES Fondu 2021.-2027.gada plānošanas periodu fonda nosaukums ir mainīts uz “Eiropas Sociālais fonds Plus”, un tāds tas būs arī ES fondu 2028.-2034.gada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informatīvā ziņojuma 1.6.sadaļas “Aktivitātes” apakšsadaļā  Nr.3.3. “Latvijas tendences”  lietoto redakciju “no vairākiem EU resursu fondiem” labojot “EU” uz ziņojuma saīsinājumu sadaļā iekļauto saīsinājumu “ES”.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informatīvā ziņojuma sadaļas “Ieviešana un tālākās rīcības” 3.punktā sniegto informāciju, norādot, ka finansējums informatīvajā ziņojumā paredzēto Latvijas ilgtspējīgas enerģijas tehnoloģiju attīstības rīcības virzienu un prioritāro pasākumu īstenošanai </w:t>
            </w:r>
            <w:r w:rsidR="00000000" w:rsidRPr="00000000" w:rsidDel="00000000">
              <w:rPr>
                <w:u w:val="single"/>
                <w:rtl w:val="0"/>
              </w:rPr>
              <w:t xml:space="preserve">netiks pieprasīts no valsts budžeta</w:t>
            </w:r>
            <w:r w:rsidR="00000000" w:rsidRPr="00000000" w:rsidDel="00000000">
              <w:rPr>
                <w:rtl w:val="0"/>
              </w:rPr>
              <w:t xml:space="preserve">, bet tiks vērtētas iespējas tos īstenot ES fondu un tam paredzētā nacionālā līdzfinansējuma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07.08.2025.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07.08.2025.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