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22-TA-2792: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Atveseļošanas un noturības mehānisma plāna 5. komponentes "Ekonomikas transformācija un produktivitātes reforma"5.2. reformu un investīciju virziena "Augstskolu pārvaldības modeļa maiņas nodrošināšana" 5.2.1.r. reformas "Augstākās izglītības un zinātnes izcilības un pārvaldības reforma" 5.2.1.1.i. investīcijas "Pētniecības, attīstības un konsolidācijas granti" otrās kārtas "Konsolidācijas un pārvaldības izmaiņu ieviešanas granti"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Atveseļošanas un noturības mehānisma plāna 5. komponentes "Ekonomikas transformācija un produktivitātes reforma"5.2. reformu un investīciju virziena "Augstskolu pārvaldības modeļa maiņas nodrošināšana" 5.2.1.r. reformas "Augstākās izglītības un zinātnes izcilības un pārvaldības reforma" 5.2.1.1.i. investīcijas "Pētniecības, attīstības un konsolidācijas granti" otrās kārtas "Konsolidācijas un pārvaldības izmaiņu ieviešanas granti"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nosacījumu, ka tiks izvērtēti Finanšu regulas 136. pantā noteiktie izslēgšanas kritēriji attiecībā uz finansējuma saņēmēju tik tālu, cik tas attiecas uz konkrēto investīciju.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Atveseļošanas un noturības mehānisma plāna 5. komponentes "Ekonomikas transformācija un produktivitātes reforma"5.2. reformu un investīciju virziena "Augstskolu pārvaldības modeļa maiņas nodrošināšana" 5.2.1.r. reformas "Augstākās izglītības un zinātnes izcilības un pārvaldības reforma" 5.2.1.1.i. investīcijas "Pētniecības, attīstības un konsolidācijas granti" otrās kārtas "Konsolidācijas un pārvaldības izmaiņu ieviešanas granti"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MKN projekta nosaukumu piedāvātajā redakcijā, ņemot vērā 1.kārtas noteikumu nosaukuma redakciju. Lūdzam attiecīgi precizēt arī MKN projekta 1.punktu un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Atveseļošanas un noturības mehānisma plāna 5.2. reformu un investīciju virziena "Augstskolu pārvaldības modeļa maiņas nodrošināšana" 5.2.1.r. reformas "Augstākās izglītības un zinātnes izcilības un pārvaldības reforma" 5.2.1.1.i. investīcijas "Pētniecības, attīstības un konsolidācijas granti" otrās kārtas "Konsolidācijas un pārvaldības izmaiņu ieviešanas granti"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Atveseļošanas un noturības mehānisma plāna 5. komponentes "Ekonomikas transformācija un produktivitātes reforma"5.2. reformu un investīciju virziena "Augstskolu pārvaldības modeļa maiņas nodrošināšana" 5.2.1.r. reformas "Augstākās izglītības un zinātnes izcilības un pārvaldības reforma" 5.2.1.1.i. investīcijas "Pētniecības, attīstības un konsolidācijas granti" otrās kārtas "Konsolidācijas un pārvaldības izmaiņu ieviešanas granti"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iesniegt MKN projektu un to anotāciju angļu valodā, lai nodrošinātu tā saskaņošanu ar Eiropas Komisiju.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noteikt papildu nosacījumus vai projektu iesniegumu kvalitātes vērtēšanas kritērijus, lai nodrošinātu plānoto ieguldījumu atbilstību dzimumu līdztiesības un vienlīdzīgu iespēju principiem.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MKN projekta izziņā un anotācijā skaidrot 5.2.1.r. reformas rādīju izpildes progresu - īpaši par atskaites punktu Nr.159, kuram jābūt izpildītam līdz 2022.g. beigām, kā arī par mērķi Nr.161, kurš jāizpilda līdz 2023.g. 2.cet.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doktorantūras grants - mērķēts konkursa kārtībā iegūstams finansējums doktoranta pētniecības veikšanai, kas saistīta ar doktorantūras studiju procesa, promocijas darba vai doktora teorētiskā pētījuma un mākslinieciskās jaunrades darba sekmīgu izstrādi;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sniegt skaidrojumu “</w:t>
            </w:r>
            <w:r w:rsidR="00000000" w:rsidRPr="00000000" w:rsidDel="00000000">
              <w:rPr>
                <w:i w:val="1"/>
                <w:rtl w:val="0"/>
              </w:rPr>
              <w:t xml:space="preserve">doktorantūras grants</w:t>
            </w:r>
            <w:r w:rsidR="00000000" w:rsidRPr="00000000" w:rsidDel="00000000">
              <w:rPr>
                <w:rtl w:val="0"/>
              </w:rPr>
              <w:t xml:space="preserve">” nozīmei vai grants paredz atsevišķus projektus, kuros paredzēts doktorantu atalgojums un vienas vienības izmaksas vai grants ir pasākumu kopums.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Rasa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 pēcdoktorants – Latvijas vai ārvalstu zinātnieks, kas doktora grādu ieguvis ne agrāk kā 10 gadus pirms pētniecības pieteikuma iesniegšanas termiņa. Šo periodu var pagarināt par posmu līdz diviem gadiem, ja pēcdoktorantam ir pamatots iemesls: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terminoloģiju visā normatīvajā aktā, konkrētajā punktā ir “</w:t>
            </w:r>
            <w:r w:rsidR="00000000" w:rsidRPr="00000000" w:rsidDel="00000000">
              <w:rPr>
                <w:i w:val="1"/>
                <w:rtl w:val="0"/>
              </w:rPr>
              <w:t xml:space="preserve">pētniecības pieteikums</w:t>
            </w:r>
            <w:r w:rsidR="00000000" w:rsidRPr="00000000" w:rsidDel="00000000">
              <w:rPr>
                <w:rtl w:val="0"/>
              </w:rPr>
              <w:t xml:space="preserve">”, bet tālāk tekstā “</w:t>
            </w:r>
            <w:r w:rsidR="00000000" w:rsidRPr="00000000" w:rsidDel="00000000">
              <w:rPr>
                <w:i w:val="1"/>
                <w:rtl w:val="0"/>
              </w:rPr>
              <w:t xml:space="preserve">pēcdoktorantūras grants</w:t>
            </w:r>
            <w:r w:rsidR="00000000" w:rsidRPr="00000000" w:rsidDel="00000000">
              <w:rPr>
                <w:rtl w:val="0"/>
              </w:rPr>
              <w:t xml:space="preserve">”, vienlaikus lūdzam MKN anotācijā skaidrot 2.11. un 2.14.apakšpunktos noteiktos grantus un to ieviešanas kārtību (mehānismu).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Rasa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Investīcijas otrās kārtas ietvaros nozares ministrijas funkcijas pilda Izglītības un zinātnes ministrija (turpmāk – nozares ministrija).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MKN projekta 3.punktu, norādot, ka IZM ir par investīcijas īstenošanu atbildīgā ministrija.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Investīcijas otrās kārtas ietvaros vienošanās par investīciju otrās kārtas projektu īstenošanu slēdz un investīcijas atbalstu piešķir Centrālā finanšu un līgumu aģentūra (turpmāk – atbalsta sniedzējs).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lēmumu par projekta iesnieguma apstiprināšanu pieņem Izglītības un zinātnes ministrija, lūgums koriģēt noteikumu projekta 4.punktu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Investīcijas otrās kārtas ietvaros vienošanās par investīciju otrās kārtas projektu īstenošanu slēdz Centrālā finanšu un līgumu aģentūra (turpmāk – aģentūra).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Rasa Teivāne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Investīcijas otrās kārtas mērķis ir </w:t>
            </w:r>
            <w:r w:rsidR="00000000" w:rsidRPr="00000000" w:rsidDel="00000000">
              <w:rPr>
                <w:shd w:fill="#ffffff" w:val="clear"/>
                <w:rtl w:val="0"/>
              </w:rPr>
              <w:t xml:space="preserve">veikt augstākās izglītības institūciju vai zinātnisko institūtu strukturālās pārmaiņas, lai veicinātu izcilību un augstākās izglītības un zinātnes kvalitātes un resursu ieguldījumu efektivitāti un starptautisko konkurētspēju, tostarp integrāciju starptautiskajos augstākās izglītības un pētniecības tīklos.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skaidrs, kuras no MKN minētajām atbalstāmajām darbībām sniedz skaidru ieguldījumu integrācijai AII un pētniecības tīklos. Lūdzam papildināt anotāciju vai precizēt mērķi tādējādi, ka plānotās atbalstāmās darbības sniedz tiešu ieguldījumu investīcijas mērķa sasniegšanā.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8.2.3.SAM ietvaros integrācija starptautisko tīklos tiek īstenota un finansēta 1.kārtas projektos.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Rasa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Investīcijas otrās kārtas mērķus sasniedz, finansējuma saņēmējiem īstenojot šo noteikumu </w:t>
            </w:r>
            <w:r w:rsidR="00000000" w:rsidRPr="00000000" w:rsidDel="00000000">
              <w:rPr>
                <w:rtl w:val="0"/>
              </w:rPr>
              <w:t xml:space="preserve">19.</w:t>
            </w:r>
            <w:r w:rsidR="00000000" w:rsidRPr="00000000" w:rsidDel="00000000">
              <w:rPr>
                <w:rtl w:val="0"/>
              </w:rPr>
              <w:t xml:space="preserve"> punktā minētās atbalstāmās darbības un sasniedzot šādus rādītājus: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apakšpunktus par rādītājiem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rādītāju redakcijām ir jāatbilst Atveseļošanas fonda plāna Darbības kārtībai, kā arī 1.kārtas MKN anotācijā ir skaidrots kopējo investīcijas rādītāju vērtību sadalījums pa kārtām. Lūdzam atbilstošus precizējumus veikt arī anotācijā. Tāpat lūdzam visur ievērot vienotu terminoloģiju attiecībā uz rādītāju veidiem atbilstoši Vadlīniju (Vadlīnijas informatīvā ziņojuma vai Ministru kabineta noteikumu izstrādei par Eiropas Savienības Atveseļošanas un noturības mehānisma plāna reformas vai investīcijas ieviešanu) 9.punktā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mērķis līdz 2023. gada 30.jūnijam – apstiprināti 4 augstākās izglītības iestāžu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konsolidācijas plāni;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mērķi līdz 2026. gada 30. septembrim: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7.2.1. parakstīti 157 akadēmiskās karjeras grantu līgumi;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7.2.2. parakstīti 45 iekšējie pētniecības un izstrādes grantu līgumi;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7.2.3. ieviesti 4 konsolidācijas plāni;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7.2.4. valsts dibinātās augstākās izglītības iestādes ir 100% ieviesušas jauno pārvaldības modeli;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uzraudzības rādītāji līdz 2024. gada 30. septembrim: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7.3.1. parakstīti 75 akadēmiskās karjeras grantu līgumi;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7.3.2. parakstīti 22 iekšējie pētniecības un izstrādes grantu līgumi.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investīcijas otrās kārtas mērķa rādītāji – līdz 2026. gada 30. jūnijam: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pārliecināties vai MK noteikumu 7.2. un 7.3. apakšpunktos norādītās mērķa un uzraudzības rādītāju vērtības sakrīt ar MK noteikumu 16.punktā noteiktajiem investīcijas otrās kārtas mērķa un uzraudzības rādītāju vērtībām.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Rasa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Papildus šo noteikumu </w:t>
            </w:r>
            <w:r w:rsidR="00000000" w:rsidRPr="00000000" w:rsidDel="00000000">
              <w:rPr>
                <w:rtl w:val="0"/>
              </w:rPr>
              <w:t xml:space="preserve">7.2.</w:t>
            </w:r>
            <w:r w:rsidR="00000000" w:rsidRPr="00000000" w:rsidDel="00000000">
              <w:rPr>
                <w:rtl w:val="0"/>
              </w:rPr>
              <w:t xml:space="preserve"> un </w:t>
            </w:r>
            <w:r w:rsidR="00000000" w:rsidRPr="00000000" w:rsidDel="00000000">
              <w:rPr>
                <w:rtl w:val="0"/>
              </w:rPr>
              <w:t xml:space="preserve">7.3. </w:t>
            </w:r>
            <w:r w:rsidR="00000000" w:rsidRPr="00000000" w:rsidDel="00000000">
              <w:rPr>
                <w:rtl w:val="0"/>
              </w:rPr>
              <w:t xml:space="preserve">apakšpunktā</w:t>
            </w:r>
            <w:r w:rsidR="00000000" w:rsidRPr="00000000" w:rsidDel="00000000">
              <w:rPr>
                <w:rtl w:val="0"/>
              </w:rPr>
              <w:t xml:space="preserve"> noteiktajiem rādītājiem finansējuma saņēmējam ir sasniedzami konsolidācijas plānā noteiktie nacionālie rādītāji.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ir nepieciešama nacionālo rādītāju uzkrāšana KPVIS. Ja tos nav nepieciešams uzkrāt KPVIS, tad lūdzam tos MKN projekta ietvaros nenoteikt. Ja tomēr nepieciešama to uzkrāšana KPVIS, lūdzam skaidri definēt, kādi nacionālie rādītāji ir jāuzkrāj, kā arī, ka par to apstiprināšanu atbildību nes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Šo noteikumu </w:t>
            </w:r>
            <w:r w:rsidR="00000000" w:rsidRPr="00000000" w:rsidDel="00000000">
              <w:rPr>
                <w:rtl w:val="0"/>
              </w:rPr>
              <w:t xml:space="preserve">7.2.1.</w:t>
            </w:r>
            <w:r w:rsidR="00000000" w:rsidRPr="00000000" w:rsidDel="00000000">
              <w:rPr>
                <w:rtl w:val="0"/>
              </w:rPr>
              <w:t xml:space="preserve"> apakšpunktā noteiktais mērķa rādītājs sniedz ieguldījumu Komisijas 2021. gada 28. septembra Deleģētās regulas (ES) Nr. 2021/2106, ar kuru, nosakot atveseļošanas un noturības rezultātu pārskata kopējos rādītājus un detalizētos elementus, papildina Eiropas Parlamenta un Padomes Regulu (ES) 2021/241, ar ko izveido Atveseļošanas un noturības mehānismu (turpmāk - Komisijas regula Nr. 2021/2106), pielikuma "Kopējo rādītāju saraksts" noteiktajā kopējā rādītājā "atbalstītajās pētniecības struktūrās strādājošie pētnieki" un šo noteikumu </w:t>
            </w:r>
            <w:r w:rsidR="00000000" w:rsidRPr="00000000" w:rsidDel="00000000">
              <w:rPr>
                <w:rtl w:val="0"/>
              </w:rPr>
              <w:t xml:space="preserve">7.2.2.</w:t>
            </w:r>
            <w:r w:rsidR="00000000" w:rsidRPr="00000000" w:rsidDel="00000000">
              <w:rPr>
                <w:rtl w:val="0"/>
              </w:rPr>
              <w:t xml:space="preserve"> un </w:t>
            </w:r>
            <w:r w:rsidR="00000000" w:rsidRPr="00000000" w:rsidDel="00000000">
              <w:rPr>
                <w:rtl w:val="0"/>
              </w:rPr>
              <w:t xml:space="preserve">7.2.3. </w:t>
            </w:r>
            <w:r w:rsidR="00000000" w:rsidRPr="00000000" w:rsidDel="00000000">
              <w:rPr>
                <w:rtl w:val="0"/>
              </w:rPr>
              <w:t xml:space="preserve">apakšpunktā</w:t>
            </w:r>
            <w:r w:rsidR="00000000" w:rsidRPr="00000000" w:rsidDel="00000000">
              <w:rPr>
                <w:rtl w:val="0"/>
              </w:rPr>
              <w:t xml:space="preserve"> noteiktais mērķa rādītājs sniedz ieguldījumu Komisijas regulas Nr.2021/2106 pielikuma "Kopējo rādītāju saraksts" noteiktajā kopējā rādītājā "to jauniešu skaits vecumā no 15 līdz 29 gadiem, kuri saņem atbalstu".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MKN projektu ar punktu, kurš nodrošina kopējo rādītāju uzskaiti un datu pārbaudi.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Investīcijas otrajai kārtai pieejamais finansējums ir 55 950 924 </w:t>
            </w:r>
            <w:r w:rsidR="00000000" w:rsidRPr="00000000" w:rsidDel="00000000">
              <w:rPr>
                <w:i w:val="1"/>
                <w:rtl w:val="0"/>
              </w:rPr>
              <w:t xml:space="preserve">euro</w:t>
            </w:r>
            <w:r w:rsidR="00000000" w:rsidRPr="00000000" w:rsidDel="00000000">
              <w:rPr>
                <w:rtl w:val="0"/>
              </w:rPr>
              <w:t xml:space="preserve">, tai skaitā Atveseļošanas fonda finansējums – 53 695 700 </w:t>
            </w:r>
            <w:r w:rsidR="00000000" w:rsidRPr="00000000" w:rsidDel="00000000">
              <w:rPr>
                <w:i w:val="1"/>
                <w:rtl w:val="0"/>
              </w:rPr>
              <w:t xml:space="preserve">euro</w:t>
            </w:r>
            <w:r w:rsidR="00000000" w:rsidRPr="00000000" w:rsidDel="00000000">
              <w:rPr>
                <w:rtl w:val="0"/>
              </w:rPr>
              <w:t xml:space="preserve"> un valsts budžeta līdzfinansējums – 2 255 224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nepārprotamu normas skaidrību, kā arī ņemot vērā noteikumu projekta 15.punktā paredzēto, ka finansējuma apmērs  investīcijas projektu īstenošanai ir noteikts "nepārsniedzot" konkrētu apmēru, lūdzam redakcionāli precizēt noteikumu projekta 12.punktu, vienlaikus svītrojot 13.punktu.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Investīcijas otrajai kārtai pieejamais finansējums ir līdz 55 950 924 euro, tai skaitā nepārsniedzot Atveseļošanas fonda finansējumu – 53 695 700 euro un valsts budžeta līdzfinansējumu – 2 255 224 euro, kas paredzēts pievienotās vērtības nodokļa (turpmāk – PVN) izmaksu segšanai, kas nav attiecināmas finansēšanai no Atveseļošanas fonda finansējuma, bet šādas izmaksas ir iekļaujamas Atveseļošanas fonda finansētā projekta ietvaros. PVN finansēšanas nosacījumi ir noteikti šo noteikumu 42. punktā.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Barkovska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Investīcijas otrajai kārtai pieejamais finansējums ir 55 950 924 </w:t>
            </w:r>
            <w:r w:rsidR="00000000" w:rsidRPr="00000000" w:rsidDel="00000000">
              <w:rPr>
                <w:i w:val="1"/>
                <w:rtl w:val="0"/>
              </w:rPr>
              <w:t xml:space="preserve">euro</w:t>
            </w:r>
            <w:r w:rsidR="00000000" w:rsidRPr="00000000" w:rsidDel="00000000">
              <w:rPr>
                <w:rtl w:val="0"/>
              </w:rPr>
              <w:t xml:space="preserve">, tai skaitā Atveseļošanas fonda finansējums – 53 695 700 </w:t>
            </w:r>
            <w:r w:rsidR="00000000" w:rsidRPr="00000000" w:rsidDel="00000000">
              <w:rPr>
                <w:i w:val="1"/>
                <w:rtl w:val="0"/>
              </w:rPr>
              <w:t xml:space="preserve">euro</w:t>
            </w:r>
            <w:r w:rsidR="00000000" w:rsidRPr="00000000" w:rsidDel="00000000">
              <w:rPr>
                <w:rtl w:val="0"/>
              </w:rPr>
              <w:t xml:space="preserve"> un valsts budžeta līdzfinansējums – 2 255 224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sīkāk izdalīt, kāds ir plānotā finansējuma sadalījums pa atbalstāmajām darbībām. Vēršam uzmanību, ka AF plāna izmaksu pamatojumos ir iezīmēts konkrēts finansējuma apmērs katrai atbalstāmajai darbībai.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Investīcijas otrās kārtas ietvaros finansējums tiek piešķirts investīcijas otrās kārtas projektiem šo noteikumu </w:t>
            </w:r>
            <w:r w:rsidR="00000000" w:rsidRPr="00000000" w:rsidDel="00000000">
              <w:rPr>
                <w:rtl w:val="0"/>
              </w:rPr>
              <w:t xml:space="preserve">5. </w:t>
            </w:r>
            <w:r w:rsidR="00000000" w:rsidRPr="00000000" w:rsidDel="00000000">
              <w:rPr>
                <w:rtl w:val="0"/>
              </w:rPr>
              <w:t xml:space="preserve">punktā</w:t>
            </w:r>
            <w:r w:rsidR="00000000" w:rsidRPr="00000000" w:rsidDel="00000000">
              <w:rPr>
                <w:rtl w:val="0"/>
              </w:rPr>
              <w:t xml:space="preserve"> noteiktā mērķa sasniegšanai: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korelāciju starp izvirzīto mērķi – 4 konsolidācijas plāni un līgumi pret plānotiem 12. projektiem. Vienlaikus, lai nodrošinātu iespējamu investīciju nepārklāšanos, dubultā finansējuma neesamību un izvairītos no nelietderīgas finansējuma izlietojamības iespējas, lūdzam apvienot projektus pēc to finansējuma saņēmējiem, piemēram, paredzot, ka Rīgas  Tehniskajai universitātei investīcijā ir viens projekts – tā ietvaros paredzot gan nepieciešamās darbības ārējai konsolidācijai ar citām AII, gan iekšējai konsolidācijai – attiecīgi, līdzīgi pārējos gadījumos, par finansējuma saņēmējiem nosakot vadošo AII, kurā tiks integrēta cita, plānotā AII. Papildus minētajam – ņemot vērā to, ka Latvijas Jūras akadēmija kā AII vairs neeksistē, kā arī tās integrācijai un konsolidācijai jau šobrīd tiek veiktas noteiktas darbības 8.2.3.SAM ietvaros t.sk., lūdzam, Latvijas Jūras akadēmija  atsevišķi neizcelt.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Rasa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15.4. Latvijas Jūras akadēmijas konsolidācija ar Rīgas Tehnisko Universitāti - līdz 7 487 856 </w:t>
            </w:r>
            <w:r w:rsidR="00000000" w:rsidRPr="00000000" w:rsidDel="00000000">
              <w:rPr>
                <w:i w:val="1"/>
                <w:rtl w:val="0"/>
              </w:rPr>
              <w:t xml:space="preserve">euro</w:t>
            </w:r>
            <w:r w:rsidR="00000000" w:rsidRPr="00000000" w:rsidDel="00000000">
              <w:rPr>
                <w:rtl w:val="0"/>
              </w:rPr>
              <w:t xml:space="preserve">, tai skaitā nepārsniedzot Atveseļošanas fonda finansējumu – 7 186 042 </w:t>
            </w:r>
            <w:r w:rsidR="00000000" w:rsidRPr="00000000" w:rsidDel="00000000">
              <w:rPr>
                <w:i w:val="1"/>
                <w:rtl w:val="0"/>
              </w:rPr>
              <w:t xml:space="preserve">euro</w:t>
            </w:r>
            <w:r w:rsidR="00000000" w:rsidRPr="00000000" w:rsidDel="00000000">
              <w:rPr>
                <w:rtl w:val="0"/>
              </w:rPr>
              <w:t xml:space="preserve"> un valsts budžeta līdzfinansējumu – 301 814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kopš 2022.gada 1.novembra Latvijas Jūras Akadēmija ir Rīgas Tehniskās universitātes sturktūrvienība, lūdzam precizēt  MKN 15.4.apakšpunkta redakciju, norādot, ka “i</w:t>
            </w:r>
            <w:r w:rsidR="00000000" w:rsidRPr="00000000" w:rsidDel="00000000">
              <w:rPr>
                <w:i w:val="1"/>
                <w:rtl w:val="0"/>
              </w:rPr>
              <w:t xml:space="preserve">ekšējai konsolidācijai Rīgas Tehniskajai Universitātei, tai skaitā nodrošinot Latvijas Jūras akadēmijas konsolidāciju - līdz 7 487 856 euro, tai skaitā nepārsniedzot Atveseļošanas fonda finansējumu – 7 186 042 euro un valsts budžeta līdzfinansējumu – 301 814 euro.</w:t>
            </w:r>
            <w:r w:rsidR="00000000" w:rsidRPr="00000000" w:rsidDel="00000000">
              <w:rPr>
                <w:rtl w:val="0"/>
              </w:rPr>
              <w:t xml:space="preserve">” vai iekļaujot 15.8. apakšpunkta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precizēt MKN 16.2.4.apakšpunktu.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Rasa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16.2.4. Latvijas Jūras akadēmijas konsolidācijas ar Rīgas Tehnisko Universitāti ietvaros - 7, tai skaitā 3 līdz 2024.gada 30.septembrim;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skat., komentāru pie MKN 15.4.apakšpunkta.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Rasa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Investīcijas otrās kārtas projektā atbalstāmas ir šādas darbības: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MKN 19.punktā uzskaitītās darbības tiek finansētas no dažādiem finansējuma avotiem ES fondu 14-20 periodā, kā arī plānoti ES fondu 21-27 periodā, lūdzam anotācijā precīzi aprakstīt sinerģiju un demarkāciju, kā arī sniegt izvērtējumu un skaidrot ES fondu 14-20 sniegto ieguldījumu un sasniegto rezultātu ilgtspēju.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Rasa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Investīcijas otrās kārtas projektā atbalstāmas ir šādas darbības: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atbalstāmās darbības atbilstoši AF plāna izmaksu pamatojumos plānotajam, t.sk. atbilstoši arī MKN projektā plānoto izmaksu tvērumu un anotācijā ietvertos skaidrojumus. Vēršam uzmanību, ka tajā nav plānota projektu vadība, zinātniskā ekspertīze un publicitāte. Visas izmaiņas ir jāskaidro MKN projekta anotācijā, t.sk. apliecinot, ka šādu izmaksu gadījumā tiks sasniegti visi solītie rādītāji noteiktajā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19.2.1. doktorantūras grantu īstenošana;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MKN anotāciju ar skaidrojumu vai uz doktorantūras grantu īstenošanu var pretendēt tie doktoranti, kas saņēmuši/saņem atbalsti 822SAM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Rasa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Šo noteikumu </w:t>
            </w:r>
            <w:r w:rsidR="00000000" w:rsidRPr="00000000" w:rsidDel="00000000">
              <w:rPr>
                <w:rtl w:val="0"/>
              </w:rPr>
              <w:t xml:space="preserve">19.1.1.</w:t>
            </w:r>
            <w:r w:rsidR="00000000" w:rsidRPr="00000000" w:rsidDel="00000000">
              <w:rPr>
                <w:rtl w:val="0"/>
              </w:rPr>
              <w:t xml:space="preserve"> apakšpunktā minētā atbalstāmā darbība var ietvert šādas darbības: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izziņā skaidrot, kāpēc šajās darbībās netiek iekļautas šādas darbības, kādas pēc līdzības ir bijušas atbalstītas darbības programmas "Uzņēmējdarbība un inovācijas" papildinājuma 2.1.1.3.3.apakšaktivitātes "Zinātnisko institūciju institucionālās kapacitātes attīstība" ietvaros: (1) apvienības stratēģijas izstrāde vai pilnveide mērķsadarbības pasākumu ietvaros; (2) pētniecības programmas starptautiski salīdzinoša izvērtēšana; (3) zinātnisko institūciju apvienības stratēģijas izstrāde mērķsadarbības pasākumu īstenošanai.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20.5. nemateriālo aktīvu iegāde vai izveide, tai skaitā ilgtermiņa pieejas tiesības akadēmiskām vai zinātniskās literatūras datubāzēm akadēmiskās vai zinātniskās darbības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ka netiek ietverti tie nemateriālie aktīvi, kas jau iegādāti vai izveidoti.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20.6. materiālo aktīvu iegāde, izveide, savietošana vai uzstādīšana;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ka atbalstīti tiek tikai tie, kas ir saskaņā ar atbalstāmās darbības mērķi.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20.7. attīstības projektu tehniskā priekšizpēte, tai skaitā sociāli ekonomiskā pamatojuma (izmaksu un ieguvumu ekonomiskās analīzes) izstrāde, tehniskās dokumentācijas (finanšu un tehniskā pamatojuma, būvdarbu tehniskās dokumentācijas) izstrāde;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MKN 19.1.2.apakšpunktā norādīto, lūdzam svītrot vārdus “</w:t>
            </w:r>
            <w:r w:rsidR="00000000" w:rsidRPr="00000000" w:rsidDel="00000000">
              <w:rPr>
                <w:i w:val="1"/>
                <w:rtl w:val="0"/>
              </w:rPr>
              <w:t xml:space="preserve">būvdarbu tehniskās dokumentācijas</w:t>
            </w:r>
            <w:r w:rsidR="00000000" w:rsidRPr="00000000" w:rsidDel="00000000">
              <w:rPr>
                <w:rtl w:val="0"/>
              </w:rPr>
              <w:t xml:space="preserve">”, minēto dokumentu izstrādes rezultātam nevar tikt nodrošināta ilgstpēja un projekta īstenošana (būvniecība).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Rasa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20.11. citas atbalstāmās darbības, kas saskaņotas apstiprinot konsolidācijas plānu.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dzēst šo punktu, jo katrai atbalstāmajai darbībai ir plānots noteikts 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21.2. nemateriālo aktīvu iegāde vai izveide;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ka netiek ietverti tie nemateriālie aktīvi, kas jau iegādāti vai izveidoti.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21.4. informācijas un komunikācijas tehnoloģiju risinājumu ieviešana izglītības procesā, tai skaitā e-studiju attīstība, bezvadu interneta pieslēguma izveide izglītības procesa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MKN 19.1.2.apakšpunktā noteikto, ka “</w:t>
            </w:r>
            <w:r w:rsidR="00000000" w:rsidRPr="00000000" w:rsidDel="00000000">
              <w:rPr>
                <w:i w:val="1"/>
                <w:rtl w:val="0"/>
              </w:rPr>
              <w:t xml:space="preserve">(izņemot būvdarbi)</w:t>
            </w:r>
            <w:r w:rsidR="00000000" w:rsidRPr="00000000" w:rsidDel="00000000">
              <w:rPr>
                <w:rtl w:val="0"/>
              </w:rPr>
              <w:t xml:space="preserve">”, lūdzam svītrot vārdus “</w:t>
            </w:r>
            <w:r w:rsidR="00000000" w:rsidRPr="00000000" w:rsidDel="00000000">
              <w:rPr>
                <w:i w:val="1"/>
                <w:rtl w:val="0"/>
              </w:rPr>
              <w:t xml:space="preserve">bezvadu interneta pieslēguma izveide izglītības procesa īstenošanai</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Rasa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Šo noteikumu </w:t>
            </w:r>
            <w:r w:rsidR="00000000" w:rsidRPr="00000000" w:rsidDel="00000000">
              <w:rPr>
                <w:rtl w:val="0"/>
              </w:rPr>
              <w:t xml:space="preserve">19.1.3.</w:t>
            </w:r>
            <w:r w:rsidR="00000000" w:rsidRPr="00000000" w:rsidDel="00000000">
              <w:rPr>
                <w:rtl w:val="0"/>
              </w:rPr>
              <w:t xml:space="preserve"> apakšpunktā minētā atbalstāmā darbība var ietvert šādas finansējuma saņēmēja darbības: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investīcijas izmaksu pamatojumā norādīts, ka šīs darbības ietvaros plānota tikai satura izstrāde un akadēmiskā personāla mācības ārvalstīs. Lūdzam atbilstoši precizēt 19.1.3.apakšpunktā plānotās darbības (t.i. nav plānoti apmaiņas pasākumi un publicitāte).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Šo noteikumu </w:t>
            </w:r>
            <w:r w:rsidR="00000000" w:rsidRPr="00000000" w:rsidDel="00000000">
              <w:rPr>
                <w:rtl w:val="0"/>
              </w:rPr>
              <w:t xml:space="preserve">19.1.4.</w:t>
            </w:r>
            <w:r w:rsidR="00000000" w:rsidRPr="00000000" w:rsidDel="00000000">
              <w:rPr>
                <w:rtl w:val="0"/>
              </w:rPr>
              <w:t xml:space="preserve"> apakšpunktā minētā atbalstāmā darbība ietver darba tiesisko attiecību izbeigšanu un kompensācijas izmaksas par darba tiesisko attiecību izbeigšanu.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mehānismu, kādā veidā likumīgi paredzēts nodrošināt darba tiesisko attiecību izbeigšanu un kompensāciju izmaksu. Nepieciešamības gadījumā lūdzam arī papildināt MKN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Darba Likuma normas neparedz iespēju darba devējam uzteikt darba tiesiskās attiecības ar darbinieku, pamatojoties uz tā vecumu.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Rasa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Šo noteikumu </w:t>
            </w:r>
            <w:r w:rsidR="00000000" w:rsidRPr="00000000" w:rsidDel="00000000">
              <w:rPr>
                <w:rtl w:val="0"/>
              </w:rPr>
              <w:t xml:space="preserve">19.2.2.</w:t>
            </w:r>
            <w:r w:rsidR="00000000" w:rsidRPr="00000000" w:rsidDel="00000000">
              <w:rPr>
                <w:rtl w:val="0"/>
              </w:rPr>
              <w:t xml:space="preserve"> apakšpunktā minētā atbalstāmā darbība var ietvert šādas darbības: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paredzēt MKN 19.2.1., 19.2.2., 19.2.3. un 19.3.apakšpunktu darbību īstenošanai vienkāršotās izmaksas. Vienlaikus aicinām izvērtēt iespēju visas šāda granta izmaksas paredzēt līdzvērtīgi MSCA (Marie Skłodowska-Curie Actions) vienas vienības izmaksām gan atlīdzībai, gan materiāliem, gan mobilitātei, gan administrēšanai.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 īpaši ņemot vērā, ka MSCA unit costs piedāvā vienas vienības izmaksu gradāciju pamatojoties pētnieka pieredzē (early-stage / experienced researcher).</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Rasa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Šo noteikumu </w:t>
            </w:r>
            <w:r w:rsidR="00000000" w:rsidRPr="00000000" w:rsidDel="00000000">
              <w:rPr>
                <w:rtl w:val="0"/>
              </w:rPr>
              <w:t xml:space="preserve">19.2.3.</w:t>
            </w:r>
            <w:r w:rsidR="00000000" w:rsidRPr="00000000" w:rsidDel="00000000">
              <w:rPr>
                <w:rtl w:val="0"/>
              </w:rPr>
              <w:t xml:space="preserve"> apakšpunktā minētā atbalstāmā darbība var ietvert šādas darbības: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 tiks ievērota demarkācija starp 19.2.3. un 19.3.apakšpunktos plānotajām darbībām un ar tām saistītajām izmaksām, lai novērstu dubultās finansēšanas risku.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 pētniecība, fundamentālie un lietišķie pētījumi;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MKN 25.1., 26.1., 27.1.apakšpunktos norādītās atbalstāmās pētniecības kategorijas.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Rasa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26.5. amortizācija (attiecināms uz finansējuma saņēmēja un sadarbības partnera projekta ietvaros iegādātajiem un rīcībā esošajiem pamatlīdzekļiem, kurus izmanto pētniecībai, un no ārējiem avotiem iegādātu tehnisko zināšanu, patentu vai citu intelektuālā īpašuma tiesību licenču izmantošanu).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MKN 2.14.apakšpunktā ir norādīts, ka tas ir individuālais grants, lūdzam svītrot vārdus “</w:t>
            </w:r>
            <w:r w:rsidR="00000000" w:rsidRPr="00000000" w:rsidDel="00000000">
              <w:rPr>
                <w:i w:val="1"/>
                <w:rtl w:val="0"/>
              </w:rPr>
              <w:t xml:space="preserve">sadarbības partneris</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Rasa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30.2. ieteicamo komunikācijas pasākumu īstenošana, tajā skaitā lai informētu par investīciju otrās kārtas projektu kā par stratēģiski svarīgu.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(t.sk. pie finansējuma saņēmēja pienākumiem), kādi tieši pastiprināti komunikācijas pasākumi veicami stratēģisku svarīgu projektu gadījumā.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Investīcijas otrās kārtas projektā saistībā ar šo noteikumu </w:t>
            </w:r>
            <w:r w:rsidR="00000000" w:rsidRPr="00000000" w:rsidDel="00000000">
              <w:rPr>
                <w:rtl w:val="0"/>
              </w:rPr>
              <w:t xml:space="preserve">23.</w:t>
            </w:r>
            <w:r w:rsidR="00000000" w:rsidRPr="00000000" w:rsidDel="00000000">
              <w:rPr>
                <w:rtl w:val="0"/>
              </w:rPr>
              <w:t xml:space="preserve"> punktā noteikto atbalstāmo darbību īstenošanu plāno kompensācijas izmaksas par darba tiesisko attiecību izbeigšanu.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skatīt komentāru pie MKN 23.punkta.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Rasa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Investīcijas otrās kārtas projektā ar saimniecisko darbību nesaistīta pētniecības pieteikuma ietvaros plāno šādas izmaksas, kas saistītas ar šo noteikumu </w:t>
            </w:r>
            <w:r w:rsidR="00000000" w:rsidRPr="00000000" w:rsidDel="00000000">
              <w:rPr>
                <w:rtl w:val="0"/>
              </w:rPr>
              <w:t xml:space="preserve">25.</w:t>
            </w:r>
            <w:r w:rsidR="00000000" w:rsidRPr="00000000" w:rsidDel="00000000">
              <w:rPr>
                <w:rtl w:val="0"/>
              </w:rPr>
              <w:t xml:space="preserve">  punktā noteikto atbalstāmo darbību īstenošanu: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MKN 36., 37., 38.punktus, norādot vai šie minētie “projekti” vai “grants” nav saistīti ar saimniecisko darbību.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Rasa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36.2. vienas vienības izmaksas atbilstoši Eiropas Savienības pētniecības un inovāciju pamatprogrammas "Apvārsnis 2020" Marijas Sklodovskas-Kirī programmas "Individuālās stipendijas" noteiktajai standartlikmei, kas ietver: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skaidrot vai šīm izmaksu pozīcijām būtu piemērojama kāda no 2014.-2020. gada plānošanas perioda esošajām Izglītības un zinātnes ministrijas vienkāršoto izmaksu metodikām? Ja nē, vai šīs metodikas būtu piemērojamas arī 2021.-2027. gada plānošanas perioda aktivitātēs, kā arī lūdzam skaidrot kā tiks nodrošināta vienota vienkāršoto izmaksu metodiku izstrādes pieeja un atbilstību prasību ievērošana normatīvajam regulējumam.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37.1. tiešās attiecināmās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Ministru kabineta noteikumu projekta 37.1. apakšpunktā vārdu “tiešās”, ņemot vērā, ka Atveseļošanas fonda ietvaros šāds izmaksu iedalījums netiek paredzēts.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37.2. netiešās attiecināmās izmaksas plāno kā vienu izmaksu pozīciju, piemērojot netiešo izmaksu vienoto likmi 15 procentu apmērā no zinātniskās grupas locekļu atlīdzības izmaksām. Finansējuma saņēmējam un sadarbības partneriem jābūt izstrādātai un apstiprinātai iekšējai kārtībai par projekta netiešo izmaksu izlietojumu un kontroli. Ja finansējuma saņēmējs piesaista sadarbības partnerus, tad projekta netiešās attiecināmās izmaksas starp finansējuma saņēmēju un sadarbības partneriem dala proporcionāli projekta tiešo attiecināmo izmaksu dalījumam starp finansējuma saņēmēju un projekta sadarbības partneriem.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MK noteikumu projekta 37.2. apakšpunktu, ņemot vērā, ka Atveseļošanas fonda ietvaros netiek paredzēts "netiešo" un "tiešo" izmaksu dalījums.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38.2. netiešās attiecināmās izmaksas, kas nav tieši saistītas ar projekta rezultātu sasniegšanu, bet atbalsta un nodrošina atbilstošus apstākļus atbalstāmo darbību īstenošanai un projekta rezultātu sasniegšanai, un tās ir projekta īstenošanas izmaksas, projekta iesniedzēja administratīvās izmaksas, kas paredzētas zinātniskā institūta darbības nodrošināšanai, proti: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redakciju, jo AF nav netiešo attiecināmo izmaksu. Lūdzu šo pārskatīt visā tekstā.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38.3. netiešās attiecināmās izmaksas plāno kā vienu izmaksu pozīciju, piemērojot netiešo izmaksu vienoto likmi 15 procentu apmērā no zinātniskās grupas locekļu atlīdzības izmaksām. Finansējuma saņēmējam un sadarbības partneriem jābūt izstrādātai un apstiprinātai iekšējai kārtībai par projekta netiešo izmaksu izlietojumu un kontroli. Ja finansējuma saņēmējs piesaista sadarbības partnerus, tad projekta netiešās attiecināmās izmaksas starp finansējuma saņēmēju un sadarbības partneriem dala proporcionāli projekta tiešo attiecināmo izmaksu dalījumam starp finansējuma saņēmēju un projekta sadarbības partneriem.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pārskatīt 38.3. apakšpunkta redakciju, ņemot vērā, ka AF nav netiešo attiecināmo izmaksu.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Finansējuma saņēmējs šo noteikumu </w:t>
            </w:r>
            <w:r w:rsidR="00000000" w:rsidRPr="00000000" w:rsidDel="00000000">
              <w:rPr>
                <w:rtl w:val="0"/>
              </w:rPr>
              <w:t xml:space="preserve">29. </w:t>
            </w:r>
            <w:r w:rsidR="00000000" w:rsidRPr="00000000" w:rsidDel="00000000">
              <w:rPr>
                <w:rtl w:val="0"/>
              </w:rPr>
              <w:t xml:space="preserve">punktā</w:t>
            </w:r>
            <w:r w:rsidR="00000000" w:rsidRPr="00000000" w:rsidDel="00000000">
              <w:rPr>
                <w:rtl w:val="0"/>
              </w:rPr>
              <w:t xml:space="preserve"> minēto darbību īstenošanai piesaista Latvijas Zinātnes padomi, paredzot šādas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MKN anotācijā skaidrot un pamatot Latvijas Zinātnes padomes iesaisti un atbildību, t.sk. MKN 57.3.apakšpunktā norādīto informāciju. Vienlaikus lūdzam skaidrot, kādā veidā tiks nodrošinātas izmaksas minēto darbību īstenošanai.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Rasa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Finansējuma saņēmējs šo noteikumu </w:t>
            </w:r>
            <w:r w:rsidR="00000000" w:rsidRPr="00000000" w:rsidDel="00000000">
              <w:rPr>
                <w:rtl w:val="0"/>
              </w:rPr>
              <w:t xml:space="preserve">29. </w:t>
            </w:r>
            <w:r w:rsidR="00000000" w:rsidRPr="00000000" w:rsidDel="00000000">
              <w:rPr>
                <w:rtl w:val="0"/>
              </w:rPr>
              <w:t xml:space="preserve">punktā</w:t>
            </w:r>
            <w:r w:rsidR="00000000" w:rsidRPr="00000000" w:rsidDel="00000000">
              <w:rPr>
                <w:rtl w:val="0"/>
              </w:rPr>
              <w:t xml:space="preserve"> minēto darbību īstenošanai piesaista Latvijas Zinātnes padomi, paredzot šādas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saskaņā ar AF plānu, LZP iesaiste šīs investīcijas īstenošanā nav plānota, lūdzam anotācijā skaidrot visas izmaiņas pret sākotnēji plānoto t.sk., apliecinot, ka šādu izmaiņu gadījumā tiks sasniegti visi investīcijas ietvaros plānotie mērķi un rādītāji.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Nozares ministrija, izvērtējot nepieciešamību un atbilstošu datu pieejamību, ir tiesīga šo noteikumu </w:t>
            </w:r>
            <w:r w:rsidR="00000000" w:rsidRPr="00000000" w:rsidDel="00000000">
              <w:rPr>
                <w:rtl w:val="0"/>
              </w:rPr>
              <w:t xml:space="preserve">35.</w:t>
            </w:r>
            <w:r w:rsidR="00000000" w:rsidRPr="00000000" w:rsidDel="00000000">
              <w:rPr>
                <w:rtl w:val="0"/>
              </w:rPr>
              <w:t xml:space="preserve">, </w:t>
            </w:r>
            <w:r w:rsidR="00000000" w:rsidRPr="00000000" w:rsidDel="00000000">
              <w:rPr>
                <w:rtl w:val="0"/>
              </w:rPr>
              <w:t xml:space="preserve">36.</w:t>
            </w:r>
            <w:r w:rsidR="00000000" w:rsidRPr="00000000" w:rsidDel="00000000">
              <w:rPr>
                <w:rtl w:val="0"/>
              </w:rPr>
              <w:t xml:space="preserve">, </w:t>
            </w:r>
            <w:r w:rsidR="00000000" w:rsidRPr="00000000" w:rsidDel="00000000">
              <w:rPr>
                <w:rtl w:val="0"/>
              </w:rPr>
              <w:t xml:space="preserve">37.</w:t>
            </w:r>
            <w:r w:rsidR="00000000" w:rsidRPr="00000000" w:rsidDel="00000000">
              <w:rPr>
                <w:rtl w:val="0"/>
              </w:rPr>
              <w:t xml:space="preserve"> un </w:t>
            </w:r>
            <w:r w:rsidR="00000000" w:rsidRPr="00000000" w:rsidDel="00000000">
              <w:rPr>
                <w:rtl w:val="0"/>
              </w:rPr>
              <w:t xml:space="preserve">38.</w:t>
            </w:r>
            <w:r w:rsidR="00000000" w:rsidRPr="00000000" w:rsidDel="00000000">
              <w:rPr>
                <w:rtl w:val="0"/>
              </w:rPr>
              <w:t xml:space="preserve"> punktā minētajām izmaksām izstrādāt vienkāršoto izmaksu metodiku. Pēc vienkāršotās izmaksu metodikas izstrādes un apstiprināšanas šo noteikumu </w:t>
            </w:r>
            <w:r w:rsidR="00000000" w:rsidRPr="00000000" w:rsidDel="00000000">
              <w:rPr>
                <w:rtl w:val="0"/>
              </w:rPr>
              <w:t xml:space="preserve">35.</w:t>
            </w:r>
            <w:r w:rsidR="00000000" w:rsidRPr="00000000" w:rsidDel="00000000">
              <w:rPr>
                <w:rtl w:val="0"/>
              </w:rPr>
              <w:t xml:space="preserve">, </w:t>
            </w:r>
            <w:r w:rsidR="00000000" w:rsidRPr="00000000" w:rsidDel="00000000">
              <w:rPr>
                <w:rtl w:val="0"/>
              </w:rPr>
              <w:t xml:space="preserve">36.</w:t>
            </w:r>
            <w:r w:rsidR="00000000" w:rsidRPr="00000000" w:rsidDel="00000000">
              <w:rPr>
                <w:rtl w:val="0"/>
              </w:rPr>
              <w:t xml:space="preserve">, </w:t>
            </w:r>
            <w:r w:rsidR="00000000" w:rsidRPr="00000000" w:rsidDel="00000000">
              <w:rPr>
                <w:rtl w:val="0"/>
              </w:rPr>
              <w:t xml:space="preserve">37.</w:t>
            </w:r>
            <w:r w:rsidR="00000000" w:rsidRPr="00000000" w:rsidDel="00000000">
              <w:rPr>
                <w:rtl w:val="0"/>
              </w:rPr>
              <w:t xml:space="preserve"> un </w:t>
            </w:r>
            <w:r w:rsidR="00000000" w:rsidRPr="00000000" w:rsidDel="00000000">
              <w:rPr>
                <w:rtl w:val="0"/>
              </w:rPr>
              <w:t xml:space="preserve">38.</w:t>
            </w:r>
            <w:r w:rsidR="00000000" w:rsidRPr="00000000" w:rsidDel="00000000">
              <w:rPr>
                <w:rtl w:val="0"/>
              </w:rPr>
              <w:t xml:space="preserve"> punktā minētajām izmaksām, kas iekļautas vienkāršoto izmaksu metodikā, piemēro minēto metodiku.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dzēst MKN 41.punktu.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Rasa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Nozares ministrija, izvērtējot nepieciešamību un atbilstošu datu pieejamību, ir tiesīga šo noteikumu </w:t>
            </w:r>
            <w:r w:rsidR="00000000" w:rsidRPr="00000000" w:rsidDel="00000000">
              <w:rPr>
                <w:rtl w:val="0"/>
              </w:rPr>
              <w:t xml:space="preserve">35.</w:t>
            </w:r>
            <w:r w:rsidR="00000000" w:rsidRPr="00000000" w:rsidDel="00000000">
              <w:rPr>
                <w:rtl w:val="0"/>
              </w:rPr>
              <w:t xml:space="preserve">, </w:t>
            </w:r>
            <w:r w:rsidR="00000000" w:rsidRPr="00000000" w:rsidDel="00000000">
              <w:rPr>
                <w:rtl w:val="0"/>
              </w:rPr>
              <w:t xml:space="preserve">36.</w:t>
            </w:r>
            <w:r w:rsidR="00000000" w:rsidRPr="00000000" w:rsidDel="00000000">
              <w:rPr>
                <w:rtl w:val="0"/>
              </w:rPr>
              <w:t xml:space="preserve">, </w:t>
            </w:r>
            <w:r w:rsidR="00000000" w:rsidRPr="00000000" w:rsidDel="00000000">
              <w:rPr>
                <w:rtl w:val="0"/>
              </w:rPr>
              <w:t xml:space="preserve">37.</w:t>
            </w:r>
            <w:r w:rsidR="00000000" w:rsidRPr="00000000" w:rsidDel="00000000">
              <w:rPr>
                <w:rtl w:val="0"/>
              </w:rPr>
              <w:t xml:space="preserve"> un </w:t>
            </w:r>
            <w:r w:rsidR="00000000" w:rsidRPr="00000000" w:rsidDel="00000000">
              <w:rPr>
                <w:rtl w:val="0"/>
              </w:rPr>
              <w:t xml:space="preserve">38.</w:t>
            </w:r>
            <w:r w:rsidR="00000000" w:rsidRPr="00000000" w:rsidDel="00000000">
              <w:rPr>
                <w:rtl w:val="0"/>
              </w:rPr>
              <w:t xml:space="preserve"> punktā minētajām izmaksām izstrādāt vienkāršoto izmaksu metodiku. Pēc vienkāršotās izmaksu metodikas izstrādes un apstiprināšanas šo noteikumu </w:t>
            </w:r>
            <w:r w:rsidR="00000000" w:rsidRPr="00000000" w:rsidDel="00000000">
              <w:rPr>
                <w:rtl w:val="0"/>
              </w:rPr>
              <w:t xml:space="preserve">35.</w:t>
            </w:r>
            <w:r w:rsidR="00000000" w:rsidRPr="00000000" w:rsidDel="00000000">
              <w:rPr>
                <w:rtl w:val="0"/>
              </w:rPr>
              <w:t xml:space="preserve">, </w:t>
            </w:r>
            <w:r w:rsidR="00000000" w:rsidRPr="00000000" w:rsidDel="00000000">
              <w:rPr>
                <w:rtl w:val="0"/>
              </w:rPr>
              <w:t xml:space="preserve">36.</w:t>
            </w:r>
            <w:r w:rsidR="00000000" w:rsidRPr="00000000" w:rsidDel="00000000">
              <w:rPr>
                <w:rtl w:val="0"/>
              </w:rPr>
              <w:t xml:space="preserve">, </w:t>
            </w:r>
            <w:r w:rsidR="00000000" w:rsidRPr="00000000" w:rsidDel="00000000">
              <w:rPr>
                <w:rtl w:val="0"/>
              </w:rPr>
              <w:t xml:space="preserve">37.</w:t>
            </w:r>
            <w:r w:rsidR="00000000" w:rsidRPr="00000000" w:rsidDel="00000000">
              <w:rPr>
                <w:rtl w:val="0"/>
              </w:rPr>
              <w:t xml:space="preserve"> un </w:t>
            </w:r>
            <w:r w:rsidR="00000000" w:rsidRPr="00000000" w:rsidDel="00000000">
              <w:rPr>
                <w:rtl w:val="0"/>
              </w:rPr>
              <w:t xml:space="preserve">38.</w:t>
            </w:r>
            <w:r w:rsidR="00000000" w:rsidRPr="00000000" w:rsidDel="00000000">
              <w:rPr>
                <w:rtl w:val="0"/>
              </w:rPr>
              <w:t xml:space="preserve"> punktā minētajām izmaksām, kas iekļautas vienkāršoto izmaksu metodikā, piemēro minēto metodiku.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skaidrot vai šīm izmaksu pozīcijām būtu piemērojama kāda no 2014.-2020. gada plānošanas perioda esošajām Izglītības un zinātnes ministrijas vienkāršoto izmaksu metodikām? Ja nē, vai šīs metodikas būtu piemērojamas arī 2021.-2027. gada plānošanas perioda aktivitātēs, kā arī lūdzam skaidrot kā tiks nodrošināta vienota vienkāršoto izmaksu metodiku izstrādes pieeja un atbilstību prasību ievērošana normatīvajam regulējumam.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PVN izmaksas finansējuma saņēmējam un tā sadarbības partneriem, kas radušās, īstenojot šo noteikumu </w:t>
            </w:r>
            <w:r w:rsidR="00000000" w:rsidRPr="00000000" w:rsidDel="00000000">
              <w:rPr>
                <w:rtl w:val="0"/>
              </w:rPr>
              <w:t xml:space="preserve">19.</w:t>
            </w:r>
            <w:r w:rsidR="00000000" w:rsidRPr="00000000" w:rsidDel="00000000">
              <w:rPr>
                <w:rtl w:val="0"/>
              </w:rPr>
              <w:t xml:space="preserve"> punktā minētās atbalstāmās darbības, un ir saistītas ar šo noteikumu </w:t>
            </w:r>
            <w:r w:rsidR="00000000" w:rsidRPr="00000000" w:rsidDel="00000000">
              <w:rPr>
                <w:rtl w:val="0"/>
              </w:rPr>
              <w:t xml:space="preserve">31.</w:t>
            </w:r>
            <w:r w:rsidR="00000000" w:rsidRPr="00000000" w:rsidDel="00000000">
              <w:rPr>
                <w:rtl w:val="0"/>
              </w:rPr>
              <w:t xml:space="preserve">, </w:t>
            </w:r>
            <w:r w:rsidR="00000000" w:rsidRPr="00000000" w:rsidDel="00000000">
              <w:rPr>
                <w:rtl w:val="0"/>
              </w:rPr>
              <w:t xml:space="preserve">32.</w:t>
            </w:r>
            <w:r w:rsidR="00000000" w:rsidRPr="00000000" w:rsidDel="00000000">
              <w:rPr>
                <w:rtl w:val="0"/>
              </w:rPr>
              <w:t xml:space="preserve">, </w:t>
            </w:r>
            <w:r w:rsidR="00000000" w:rsidRPr="00000000" w:rsidDel="00000000">
              <w:rPr>
                <w:rtl w:val="0"/>
              </w:rPr>
              <w:t xml:space="preserve">33.</w:t>
            </w:r>
            <w:r w:rsidR="00000000" w:rsidRPr="00000000" w:rsidDel="00000000">
              <w:rPr>
                <w:rtl w:val="0"/>
              </w:rPr>
              <w:t xml:space="preserve">, </w:t>
            </w:r>
            <w:r w:rsidR="00000000" w:rsidRPr="00000000" w:rsidDel="00000000">
              <w:rPr>
                <w:rtl w:val="0"/>
              </w:rPr>
              <w:t xml:space="preserve">34.</w:t>
            </w:r>
            <w:r w:rsidR="00000000" w:rsidRPr="00000000" w:rsidDel="00000000">
              <w:rPr>
                <w:rtl w:val="0"/>
              </w:rPr>
              <w:t xml:space="preserve">, </w:t>
            </w:r>
            <w:r w:rsidR="00000000" w:rsidRPr="00000000" w:rsidDel="00000000">
              <w:rPr>
                <w:rtl w:val="0"/>
              </w:rPr>
              <w:t xml:space="preserve">35.</w:t>
            </w:r>
            <w:r w:rsidR="00000000" w:rsidRPr="00000000" w:rsidDel="00000000">
              <w:rPr>
                <w:rtl w:val="0"/>
              </w:rPr>
              <w:t xml:space="preserve">, </w:t>
            </w:r>
            <w:r w:rsidR="00000000" w:rsidRPr="00000000" w:rsidDel="00000000">
              <w:rPr>
                <w:rtl w:val="0"/>
              </w:rPr>
              <w:t xml:space="preserve">36.</w:t>
            </w:r>
            <w:r w:rsidR="00000000" w:rsidRPr="00000000" w:rsidDel="00000000">
              <w:rPr>
                <w:rtl w:val="0"/>
              </w:rPr>
              <w:t xml:space="preserve">​​​​​, ,</w:t>
            </w:r>
            <w:r w:rsidR="00000000" w:rsidRPr="00000000" w:rsidDel="00000000">
              <w:rPr>
                <w:rtl w:val="0"/>
              </w:rPr>
              <w:t xml:space="preserve">37.</w:t>
            </w:r>
            <w:r w:rsidR="00000000" w:rsidRPr="00000000" w:rsidDel="00000000">
              <w:rPr>
                <w:rtl w:val="0"/>
              </w:rPr>
              <w:t xml:space="preserve">,</w:t>
            </w:r>
            <w:r w:rsidR="00000000" w:rsidRPr="00000000" w:rsidDel="00000000">
              <w:rPr>
                <w:rtl w:val="0"/>
              </w:rPr>
              <w:t xml:space="preserve"> ​​ </w:t>
            </w:r>
            <w:r w:rsidR="00000000" w:rsidRPr="00000000" w:rsidDel="00000000">
              <w:rPr>
                <w:rtl w:val="0"/>
              </w:rPr>
              <w:t xml:space="preserve">38.</w:t>
            </w:r>
            <w:r w:rsidR="00000000" w:rsidRPr="00000000" w:rsidDel="00000000">
              <w:rPr>
                <w:rtl w:val="0"/>
              </w:rPr>
              <w:t xml:space="preserve"> un </w:t>
            </w:r>
            <w:r w:rsidR="00000000" w:rsidRPr="00000000" w:rsidDel="00000000">
              <w:rPr>
                <w:rtl w:val="0"/>
              </w:rPr>
              <w:t xml:space="preserve">39.</w:t>
            </w:r>
            <w:r w:rsidR="00000000" w:rsidRPr="00000000" w:rsidDel="00000000">
              <w:rPr>
                <w:rtl w:val="0"/>
              </w:rPr>
              <w:t xml:space="preserve"> punktā minētajām attiecināmajām izmaksām, tiek segtas atbilstoši šādiem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pasākuma mērķa grupa ir augstākās izglītības institūcijas, zinātniskie institūti, akadēmiskais personāls, administratīvais personāls un zinātniskie darbinieki, pēcdoktoranti un doktoranti, bet kā sadarbības partneri tiek minēti citas augstākās izglītības institūcijas vai zinātniskie institūti, lūdzam skaidrot, kāpēc šajā punktā tiek definēti visi iespējamie PVN finansēšanas nosacījumi.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 Investīcijas otrās kārtas projekta iesniegumu var iesniegt valsts augstākās izglītības institūcija vai valsts zinātniskais institūts, kam ir ar nozares ministriju saskaņots valsts augstākās izglītības institūcijas vai valsts zinātniskā institūta konsolidācijas plāns.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17.punktā ir jau definēts projekta iesniedzējs un konkrētā nodaļa citstarp ir par prasībām projekta iesnieguma iesniegšanai (nevis prasībām projekta iesniedzējam), lūgums dzēst 44.punktu.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Zintis Gailītis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 Nozares ministrija izvērtē un sniedz atzinumu atbalsta sniedzējam par finansējuma saņēmēja investīcijas otrās kārtas projekta iesnieguma atbilstību šādiem kvalitātes kritērijiem: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Iebildums - noteikumu projektā nepieciešams ietvert arī regulējumu par projekta atbilstības izvērtējumu šo noteikumu formālajām prasībām, piemēram, vai projektā ietvertās atbalstāmās darbības un plānotās izmaksas atbilst noteikumos ietvertajiem nosacījumiem utml. t.sk. institūciju, kura veic šo izvērtējumu. Ierasti šādu izvērtējumu par šo noteikumu formālajām prasībām veic pirms projekta kvalitātes novērtēšanas.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Priekšlikums ietvert termiņu, kādā nozares ministrija izvērtē projekta iesniegumu.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Priekšlikums apsvērt, vai, ņemot vērā šo noteikumu 17.punktu, punktā "finansējuma saņēmēja" vietā nav jālieto "projekta iesniedzējs".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Zintis Gailītis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 Nozares ministrija izvērtē un sniedz atzinumu atbalsta sniedzējam par finansējuma saņēmēja investīcijas otrās kārtas projekta iesnieguma atbilstību šādiem kvalitātes kritērijiem: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ka atzinumā cita starpā tiek vērtēts tāds kvalitātes kritērijs kā plānoto darbību sinerģija un demarkācija ar konsolidējamās un konsolidējošās iestādes veiktajiem ieguldījumiem ES fondu 14-20 PP, kā arī ar plānotajiem ieguldījumiem ES fondu 21-27 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Tādejādi nodrošinot, ka konsolidācijas plānos netiks iekļautas tādas darbības vai tādi infrastruktūras uzlabošanas pasākumi, kuru realizēšanai konkrētā AII un/vai zinātniskais institūts ir saņēmis atbalstu ES fondu 14-20 PP ietvaros, kā arī tiks nodrošināta sinerģija un ilgtspēja ar tādiem ieguldījumiem, kas veikti ES fondu 14-20 PP (piemēram, 14.1.1.1 digitalizācijas rīku, 8.2.3. pārvaldības sistēmu u.c. IT risinājumu ilgtspēja, nodrošinot, ka ES fondu 14-20 PP veiktie ieguldījumi ir bijuši jēgpilni).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Rasa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 Nozares ministrija izvērtē un sniedz atzinumu atbalsta sniedzējam par finansējuma saņēmēja investīcijas otrās kārtas projekta iesnieguma atbilstību šādiem kvalitātes kritērijiem: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MKN projektu ar informāciju, kad un kur tiks publicēti kritēriju piemērošanas skaidrojumi.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 Nozares ministrija izvērtē un sniedz atzinumu atbalsta sniedzējam par finansējuma saņēmēja investīcijas otrās kārtas projekta iesnieguma atbilstību šādiem kvalitātes kritērijiem: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noteiktie kritēriji nav jāpapildina ar šādu kritēriju atbilstoši AF plāna (1675) rindkopā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"Investīcijas konsolidācijas un pārvaldības izmaiņu ieviešanas grantiem prioritāri tiks novirzītas tām AII un zinātniskajiem institūtiem, kas uzrāda augstāku pārvaldības modeļa maiņas gatavības pakāpi, tai skaitā izmaiņas attiecībā uz AII padomes un rektora ievēlēšanu.".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47.1. investīcijas otrās kārtas projekta atbilstība: investīcijas otrās kārtas projekta ieguldījums investīcijas mērķu un noteikto rādītāju sasniegšanā;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atsauces uz konkrētiem MKN projekta punktiem, kuros definēti visi sasniedzamie rādītāji.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 Nozares ministrija, sniedzot šo noteikumu </w:t>
            </w:r>
            <w:r w:rsidR="00000000" w:rsidRPr="00000000" w:rsidDel="00000000">
              <w:rPr>
                <w:rtl w:val="0"/>
              </w:rPr>
              <w:t xml:space="preserve">47.</w:t>
            </w:r>
            <w:r w:rsidR="00000000" w:rsidRPr="00000000" w:rsidDel="00000000">
              <w:rPr>
                <w:rtl w:val="0"/>
              </w:rPr>
              <w:t xml:space="preserve"> punktā minēto atzinumu par investīcijas otrās kārtas projektu, katram finansējuma saņēmējam nosaka finansējuma sadalījumu atbalstāmo darbību īstenošanai, kas nepieciešams finansējuma saņēmējam šo noteikumu </w:t>
            </w:r>
            <w:r w:rsidR="00000000" w:rsidRPr="00000000" w:rsidDel="00000000">
              <w:rPr>
                <w:rtl w:val="0"/>
              </w:rPr>
              <w:t xml:space="preserve">7.2.</w:t>
            </w:r>
            <w:r w:rsidR="00000000" w:rsidRPr="00000000" w:rsidDel="00000000">
              <w:rPr>
                <w:rtl w:val="0"/>
              </w:rPr>
              <w:t xml:space="preserve"> </w:t>
            </w:r>
            <w:r w:rsidR="00000000" w:rsidRPr="00000000" w:rsidDel="00000000">
              <w:rPr>
                <w:rtl w:val="0"/>
              </w:rPr>
              <w:t xml:space="preserve">​</w:t>
            </w:r>
            <w:r w:rsidR="00000000" w:rsidRPr="00000000" w:rsidDel="00000000">
              <w:rPr>
                <w:rtl w:val="0"/>
              </w:rPr>
              <w:t xml:space="preserve">apakšpunktā noteikto investīcijas otrās kārtas rādītāju sasniegšanai, kā arī atzinumā ietver šo noteikumu </w:t>
            </w:r>
            <w:r w:rsidR="00000000" w:rsidRPr="00000000" w:rsidDel="00000000">
              <w:rPr>
                <w:rtl w:val="0"/>
              </w:rPr>
              <w:t xml:space="preserve">8. </w:t>
            </w:r>
            <w:r w:rsidR="00000000" w:rsidRPr="00000000" w:rsidDel="00000000">
              <w:rPr>
                <w:rtl w:val="0"/>
              </w:rPr>
              <w:t xml:space="preserve">punktā</w:t>
            </w:r>
            <w:r w:rsidR="00000000" w:rsidRPr="00000000" w:rsidDel="00000000">
              <w:rPr>
                <w:rtl w:val="0"/>
              </w:rPr>
              <w:t xml:space="preserve"> minētos nacionālos rādītājus.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MKN projektu ar punktu, kā notiks projektu iesniegumu apstiprināšana gadījumā, ja kādā atbalstāmajā darbībā tiks pārsniegts kopējais/pieteiktais finansējums, t.sk. vai nav risks, ka var tikt pārsniegts kopējais 2.kārtai plānotais AF finansējums. Vēršam uzmanību, ka 5.2.1.1.i. investīcijas izmaksu pamatojumos katrai atbalstāmajai darbībai tika ieplānots konkrēts finansējuma apmērs.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Ja investīciju otrās kārtas projekta iesniedzējs neveic investīciju otrās kārtas projekta precizējumus vai papildinājumus atbilstoši šo noteikumu </w:t>
            </w:r>
            <w:r w:rsidR="00000000" w:rsidRPr="00000000" w:rsidDel="00000000">
              <w:rPr>
                <w:rtl w:val="0"/>
              </w:rPr>
              <w:t xml:space="preserve">49.</w:t>
            </w:r>
            <w:r w:rsidR="00000000" w:rsidRPr="00000000" w:rsidDel="00000000">
              <w:rPr>
                <w:rtl w:val="0"/>
              </w:rPr>
              <w:t xml:space="preserve"> punktā minētajai kārtībai, nozares ministrija pieņem lēmumu noraidīt investīcijas otrās kārtas projekta iesniegumu. Nozares ministrija var uzaicināt investīciju otrās kārtas projekta iesniedzēju iesniegt investīciju otrās kārtas projekta iesniegumu atkārtoti.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MKN projektu ar atbalsta piešķiršanas atteikuma apstrīdēšanas kārtību (Vadlīniju 57.punkts).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Pēc nozares ministrijas atzinuma saņemšanas par investīcijas otrās kārtas projekta iesnieguma atbilstību šo noteikumu </w:t>
            </w:r>
            <w:r w:rsidR="00000000" w:rsidRPr="00000000" w:rsidDel="00000000">
              <w:rPr>
                <w:rtl w:val="0"/>
              </w:rPr>
              <w:t xml:space="preserve">47.</w:t>
            </w:r>
            <w:r w:rsidR="00000000" w:rsidRPr="00000000" w:rsidDel="00000000">
              <w:rPr>
                <w:rtl w:val="0"/>
              </w:rPr>
              <w:t xml:space="preserve"> punktā noteiktajiem kvalitātes kritērijiem un investīcijas otrās kārtas projekta iesnieguma apstiprināšanas vadības informācijas sistēmā, atbalsta sniedzējs noslēdz vienošanos par investīcijas otrās kārtas projekta īstenošanu ar finansējuma saņēmēju atbilstoši šajos noteikumos noteiktajiem nosacījumiem, kurā nosaka: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kā tiks informēts finansējuma saņēmējs par līgumslēgšanas procesa uzsākšanu.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52.5.3. noteikto atskaites punktu un mērķu sasniegšanu pamatojošo dokumentu augšupielādes apjomu un regularitāti vadības informācijas sistēmā;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MKN projektā noteikt visus informācijas ievades nosacījumus KPVIS, t.i. MKN jābūt skaidri noteiktai datu ievades regularitātei.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52.7. finansējuma saņēmēja pienākumu uzskaitīt un nodalīt investīcijas otrās kārtas projekta ietvaros veiktos PVN maksājumus, kā arī iesniegt apliecinājumu, ka PVN  izmaksas netiks atgūtas no valsts budžeta priekšnodokļa veidā;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ka finansējuma saņēmējs nodrošina atsevišķu projekta izmaksu, t.sk. PVN izmaksu uzskaiti un nodalīšanu, kā arī tam ir pienākums atgriezt pārmaksāto PVN daļu, ja sākotnēji plānotais PVN apjoms būs lielāks, nekā faktiski nepieciešams, kā arī precizēt, ka PVN izmaksas ne tikai netiks atgūtas, bet arī nav atgūtas.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52.8. finansējuma saņēmēja pienākumu uzkrāt investīcijas otrās kārtas projekta sadarbības partneru un dalībnieku datus. Fizisko personu datu apstrāde veicama saskaņā ar Eiropas Parlamenta un Padomes 2016. gada 27. aprīļa Regulu (ES) Nr. 2016/679 par fizisku personu aizsardzību attiecībā uz personas datu apstrādi un šādu datu brīvu apriti un ar ko atceļ Direktīvu 95/46/EK (Vispārīgā datu aizsardzības regula), un nodrošinot Fizisko personu datu apstrādes likuma prasības;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MKN anotāciju, kas MKN izpratnē 52.8.apakšpunkta kontekstā ir uzskatāmi par "</w:t>
            </w:r>
            <w:r w:rsidR="00000000" w:rsidRPr="00000000" w:rsidDel="00000000">
              <w:rPr>
                <w:i w:val="1"/>
                <w:rtl w:val="0"/>
              </w:rPr>
              <w:t xml:space="preserve">dalībniekiem</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Rasa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 Atbalsta sniedzējs, veicot avansa un starpposma maksājumus, nodrošina, ka finansējuma saņēmējam veikto avansa un starpposma maksājumu kopsumma nepārsniedz 90 procentus no investīcijas otrās kārtas projekta kopējā finansējuma.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MKN projektu ar nosacījumu, ka nākamo avansu var saņemt pēc tam, kad iepriekšējais ir izmantots pilnā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Atbalsta sniedzējs nepieciešamās pārbaudes veic un noslēguma maksājumu, pārvaldības deklarācijai nepieciešamo informāciju un audita kopsavilkumu sagatavo līdz 2026. gada 31. augustam.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skaidrāk definēt atbalsta sniedzēja jeb CFLA pienākumus. Ja CFLA ir līgumslēdzējs, CFLA jānodrošina: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līgumu vai vienošanās par projektu īstenošanu noslēgšanu;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izlases veidā veiks pārbaudes par interešu konflikta, krāpšanas un korupcijas, kā arī dubultfinansējuma riska novēršanas pārbaudes;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pārbaudes projektu īstenošanas vietās (pārbaudāmo projektu izlasi veidojot atbilstoši CFLA iekšējā procedūrā noteiktajiem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projekta ieviešanas progresa un sasniegto rādītāju pārbaudes;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datu ticamības pārbaudes (Vadlīniju 95.punkts).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 Finansējuma saņēmējs pēc nozares ministrijas lūguma iesniedz pieprasīto informāciju un dokumentus attiecībā uz finansējuma saņēmējam šo noteikumu </w:t>
            </w:r>
            <w:r w:rsidR="00000000" w:rsidRPr="00000000" w:rsidDel="00000000">
              <w:rPr>
                <w:rtl w:val="0"/>
              </w:rPr>
              <w:t xml:space="preserve">8. </w:t>
            </w:r>
            <w:r w:rsidR="00000000" w:rsidRPr="00000000" w:rsidDel="00000000">
              <w:rPr>
                <w:rtl w:val="0"/>
              </w:rPr>
              <w:t xml:space="preserve">punktā</w:t>
            </w:r>
            <w:r w:rsidR="00000000" w:rsidRPr="00000000" w:rsidDel="00000000">
              <w:rPr>
                <w:rtl w:val="0"/>
              </w:rPr>
              <w:t xml:space="preserve"> noteiktajiem nacionālajiem rādītājiem un nacionālo rādītāju ilgtspējas nosacījumu izpildi nozares ministrijas noteiktajā termiņā, kas nav īsāks par trim darbdienām.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skaidrot, kas tiek domāts ar noteikumu projekta 66.punktā noteikto nacionālo rādītāju ilgtspējas nosacījumu izpildi.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Rasa Teivāne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 Investīcijas ietvaros tiek īstenoti ar saimniecisku darbību nesaistīti sadarbības projekti, kuru darbības atbilst šādiem kritērijiem: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noteikumu 44.punktā minēti projektu iesniedzēji - valsts augstākās izglītības institūcija vai valsts zinātniskais institūts, kam ir ar nozares ministriju saskaņots valsts augstākās izglītības institūcijas vai valsts zinātniskā institūta konsolidācijas plāns. Savukārt, šo noteikumu IV nodaļā iekļauti ar saimniecisku darbību nesaistīta projekta īstenošanas nosacījumi, kas pamatā attiecas uz pētniecības organizācijām un pētniecības aktivitātēm. Vienlaikus arī noteikumi paredz atbalstāmās darbības izglītības nozarē, piemēram, izglītības procesa uzlabojumi vai mācību programmu izstrāde. Attiecīgi lūdzam: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skaidri nodalīt nosacījumus, kas attiecas uz pētniecību un izglītību, ņemot vērā to, ka Latvijā augstākā izglītība ir pamatā maksas izglītība;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lietot noteikumos vienotu terminoloģiju attiecībā uz "pētniecības organizācija", "zinātniskais institūts", utml., vai pie pētniecības organizācijas definīcijas sniegt skaidrojumu, kādas institūcijas tiek saprasta šī konkrētā pasākuma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par visu augstāk minēto ar atbilstošu skaidrojumu papildināt arī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 Investīcijas ietvaros tiek īstenoti ar saimniecisku darbību nesaistīti sadarbības projekti, kuru darbības atbilst šādiem kritērijiem: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šo punktu ar apakšpunktiem tā, lai tie atbilstu Komisijas paziņojuma Pētniecībai, izstrādei un inovācijai piešķiramā valsts atbalsta nostādnes (2022/C 414/01) 20.punktam. Attiecīgi lūdzam precizēt arī anotāciju, t.sk. labot atsauci uz aktuālajām nostādnēm.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68.2.2.2. pētniecības organizācija saņem no sadarbības partnera – saimnieciskās darbības veicēja – tādu atlīdzību (kompensāciju), kas ir līdzvērtīga tirgus cenai par intelektuālā īpašuma tiesībām, kuras izriet no pētniecības organizācijas veiktajām darbībām investīcijas otrās kārtas projektā un kuras nodotas sadarbības partnerim vai uz kurām sadarbības partnerim tiek piešķirtas piekļuves tiesības. No minētās kompensācijas var atskaitīt jebkuru ieguldījumu – gan finanšu, gan nefinanšu – vērtības absolūto summu, ko sadarbības partneris devis pētniecības organizācijas darbību izmaksās, kuru rezultātā radās attiecīgās intelektuālā īpašuma tiesības;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MK noteikumu projekta 18.punktā norādīto, ka finansējuma saņēmējs investīcijas otrās kārtas projekta īstenošanā var iesaistīt sadarbības partnerus  - citas augstākās izglītības institūcijas vai zinātniskos institūtus, kas atbilstoši konsolidācijas plānam sadarbībā ar finansējuma saņēmēju īsteno strukturālas reformas, nav skaidrs kā var rasties 68.2.2.2. apakšpunktā minētā situācija, kad pētniecības organizācija saņem atlīdzību no sadarbības partnera - saimnieciskās darbības veicēja. Lūdzam pārskatīt MK noteikumu projektā noteikto un nodrošināt, lai normas dažādos MK noteikumu projekta punktos nebūtu savstarpēji pretrunīgas.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Liede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69.1. īstenojot investīcijas otrās kārtas projektu, finansējuma saņēmējs nodrošina investīcijas otrās kārtas projekta īstenošanas finanšu plūsmas nodalīšanu no citām finansējuma saņēmēja darbības finanšu plūsmām investīcijas otrās kārtas projekta īstenošanas laikā un piecus gadus pēc noslēguma maksājuma veikšanas;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šo noteikumu 71.punktā minēto termiņu, kurā ir jānodrošina komercdarbības atbalsta izslēdzošie nosacījumi, proti, infrastruktūras amortizācijas periodā, lūdzam precizēt šo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 Finansējumu tehnoloģiju tiesību aizsardzībai un mācībām var saņemt investīciju otrās kārtas projekta iesniedzējs, kas atbilst šo noteikumu </w:t>
            </w:r>
            <w:r w:rsidR="00000000" w:rsidRPr="00000000" w:rsidDel="00000000">
              <w:rPr>
                <w:rtl w:val="0"/>
              </w:rPr>
              <w:t xml:space="preserve">2.13.</w:t>
            </w:r>
            <w:r w:rsidR="00000000" w:rsidRPr="00000000" w:rsidDel="00000000">
              <w:rPr>
                <w:rtl w:val="0"/>
              </w:rPr>
              <w:t xml:space="preserve"> apakšpunktā minētajai pētniecības organizācijas definīcijai, ja īsteno ar saimniecisku darbību nesaistītu pētniecības pieteikumu.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caurskatīt visu MKN projektu un nodrošināt, ka, atbilstoši AF plānā minētajam, tiek nodrošināta šīs investīcijas projektu atbilstība nesaimnieciskām darbībām.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Rasa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Finansējuma saņēmējs pirms sadarbības partnera iesaistīšanas investīcijas otrās kārtas projekta īstenošanā noslēdz sadarbības līgumu ar šajos noteikumos noteiktajiem sadarbības partneriem par pušu savstarpējām saistībām attiecībā uz investīcijas otrās kārtas projekta īstenošanu saskaņā ar Ministru kabineta 2021. gada 7. septembra noteikumiem Nr. 621 "Eiropas Savienības Atveseļošanas un noturības mehānisma plāna īstenošanas un uzraudzības kārtība" un šiem noteikumiem un pēc pieprasījuma to iesniedz atbalsta sniedzējam.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vārdus "šajos noteikumos noteiktajiem", vav saprotams, kādi partneri tiek noteikti šajos noteikumos, ņemot vērā, ka MKN 18.punktā finansējuma saņēmējam ir noteiktas tiesības pašam izvēlēties partnerus "c</w:t>
            </w:r>
            <w:r w:rsidR="00000000" w:rsidRPr="00000000" w:rsidDel="00000000">
              <w:rPr>
                <w:i w:val="1"/>
                <w:rtl w:val="0"/>
              </w:rPr>
              <w:t xml:space="preserve">itas augstākās izglītības institūcijas vai zinātniskos institūtus, kas atbilstoši konsolidācijas plānam sadarbībā ar finansējuma saņēmēju īsteno strukturālas reformas</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Rasa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74.11. atbilstoši regulas Nr. 2021/241 22. pantam finansējuma saņēmējs un tā sadarbības partneri nodrošina, ka visā investīcijas otrās kārtas projekta īstenošanas laikā tiks ievēroti interešu konflikta, korupcijas un krāpšanas novēršanas un dubultā finansējuma novēršanas nosacījumi, kuriem iestājoties pret finansējuma saņēmēju var tikt piemērotas attiecīgas korektīvās darbības.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MKN projektu ar punktiem, kuri skaidri nosaka, kurš veic šādas pārbaudes: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interešu konflikta, korupcijas un krāpšanas novēršana;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dubultfinansējuma riska novēršana;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sasniegto atskaites punktu un mērķu pamatojošās dokumentācijas pārbaude, t.sk. datu ticamības pārbaude.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76. Finansējuma saņēmēji un to sadarbības partneri investīcijas otrās kārtas projekta īstenošanas laikā un piecus gadus pēc pēdējā maksājuma veikšanas nodrošina visu ar investīcijas otrās kārtas projekta īstenošanu saistīto dokumentu glabāšanu, tai skaitā investīcijas otrās kārtas projekta iesnieguma, jebkuru ar investīcijas otrās kārtas projektu saistīto sarakstes dokumentu, iepirkuma dokumentācijas, investīcijas otrās kārtas projekta noslēgto līgumu, veikto darbu, piegāžu un sniegto pakalpojumu apliecinošu dokumentu, veikto maksājumu apliecinošo dokumentu oriģinālu vai to atvasinājumu ar juridisko spēku glabāšanu.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šo noteikumu 71.punktā minēto termiņu, kurā ir jānodrošina komercdarbības atbalsta izslēdzošie nosacījumi, proti, infrastruktūras amortizācijas periodā, lūdzam precizēt šajā punktā minēto dokumentu glabāšanas termiņu attiecībā uz tiem gadījumiem, kad amortizācijas termiņš ir jāievēro.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76. Finansējuma saņēmēji un to sadarbības partneri investīcijas otrās kārtas projekta īstenošanas laikā un piecus gadus pēc pēdējā maksājuma veikšanas nodrošina visu ar investīcijas otrās kārtas projekta īstenošanu saistīto dokumentu glabāšanu, tai skaitā investīcijas otrās kārtas projekta iesnieguma, jebkuru ar investīcijas otrās kārtas projektu saistīto sarakstes dokumentu, iepirkuma dokumentācijas, investīcijas otrās kārtas projekta noslēgto līgumu, veikto darbu, piegāžu un sniegto pakalpojumu apliecinošu dokumentu, veikto maksājumu apliecinošo dokumentu oriģinālu vai to atvasinājumu ar juridisko spēku glabāšanu.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dokumentu glabāšana jānodrošina piecus gadus pēc pēdējā maksājuma </w:t>
            </w:r>
            <w:r w:rsidR="00000000" w:rsidRPr="00000000" w:rsidDel="00000000">
              <w:rPr>
                <w:b w:val="1"/>
                <w:rtl w:val="0"/>
              </w:rPr>
              <w:t xml:space="preserve">dalībvalstij</w:t>
            </w:r>
            <w:r w:rsidR="00000000" w:rsidRPr="00000000" w:rsidDel="00000000">
              <w:rPr>
                <w:rtl w:val="0"/>
              </w:rPr>
              <w:t xml:space="preserve">, jeb līdz 2031.gada beigām, lūdzam precizēt noteikumu projekta 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Rasa Teivāne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AF uzraudzības specifiku, kā arī CFLA pieejamos resursus AF projektu uzraudzībai, atbalsta sniedzējam investīcijas otrās kārtas īstenošanas periodā noteikt tiesības</w:t>
            </w:r>
            <w:r w:rsidR="00000000" w:rsidRPr="00000000" w:rsidDel="00000000">
              <w:rPr>
                <w:u w:val="single"/>
                <w:rtl w:val="0"/>
              </w:rPr>
              <w:t xml:space="preserve"> pēc pieprasījuma</w:t>
            </w:r>
            <w:r w:rsidR="00000000" w:rsidRPr="00000000" w:rsidDel="00000000">
              <w:rPr>
                <w:rtl w:val="0"/>
              </w:rPr>
              <w:t xml:space="preserve"> (nevis ikgadēji) no finansējuma saņēmēja saņemt ikgadējas atskaites par papildinošās saimnieciskās darbības apjomu identiski kā tas ir noteikts infrastruktūras (t.sk. pamatlīdzekļu) amortizācijas periodā, ka atbalsta sniedzējam būs noteiktas tiesības </w:t>
            </w:r>
            <w:r w:rsidR="00000000" w:rsidRPr="00000000" w:rsidDel="00000000">
              <w:rPr>
                <w:u w:val="single"/>
                <w:rtl w:val="0"/>
              </w:rPr>
              <w:t xml:space="preserve">pēc pieprasījuma</w:t>
            </w:r>
            <w:r w:rsidR="00000000" w:rsidRPr="00000000" w:rsidDel="00000000">
              <w:rPr>
                <w:rtl w:val="0"/>
              </w:rPr>
              <w:t xml:space="preserve"> no finansējuma saņēmēja saņemt uzkrātos aprēķina datus.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Cintija Ripa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novērst matemātisko neprecizitāti anotācijas 3. sadaļas 6.2. punktā - norādām, ka summējot tajā norādīto finansējumu sadalījumā pa gadiem kopā, un tai skaitā pievienotās vērtības nodokļa segšanai, veidojas nobīde par 1 euro.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Barkovska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MKN 9.punktā noteikto mērķa rādītāju, kurš sniedz ieguldījumu Komisijas 2021. gada 28. septembra Deleģētās regulas (ES) Nr. 2021/2106, ar kuru, nosakot atveseļošanas un noturības rezultātu pārskata kopējos rādītājus un detalizētos elementus, papildina Eiropas Parlamenta un Padomes Regulu (ES) 2021/241, ar ko izveido Atveseļošanas un noturības mehānismu (turpmāk - Komisijas regula Nr. 2021/2106), pielikuma "Kopējo rādītāju saraksts" noteiktajā kopējā rādītājā "atbalstītajās pētniecības struktūrās strādājošie pētnieki" un šo noteikumu 7.2.2. un 7.2.3. apakšpunktā noteiktais mērķa rādītājs sniedz ieguldījumu Komisijas regulas Nr.2021/2106 pielikuma "Kopējo rādītāju saraksts" noteiktajā kopējā rādītājā "to jauniešu skaits vecumā no 15 līdz 29 gadiem, kuri saņem atbalstu". Lūdzam skaidrot, kā tiek plānots uzkrāt datus </w:t>
            </w:r>
            <w:r w:rsidR="00000000" w:rsidRPr="00000000" w:rsidDel="00000000">
              <w:rPr>
                <w:u w:val="single"/>
                <w:rtl w:val="0"/>
              </w:rPr>
              <w:t xml:space="preserve">par pētniecības struktūrās strādājošajiem pētniekiem MKN  7.2.1.apakšpunkta gadījumā un jauniešiem MKN 7.2.3.apakšpunkta gadījumā</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Rasa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investīcijas sasaisti ar Zaļo dimensiju atbilstoši AF plāna 2.pielikumā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5.2.1.1.i. investīcijas 2.kārtas demarkāciju ar tās pašas investīcijas ietvaros plānoto 3.kārtu, kurā ir plānotas līdzīgas atbalstāmās darbības.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MKN projekta izziņā pamatot AF investīcijas 2.kārtas ieviešanas apraksta formas izvēli (MKN, nevis informatīvais ziņojums).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investīcijas otrās kārtas īstenošanā iesaistīto institūciju kompetenci.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izvērtēt, vai 1.7.apakšpunkts nedublē 1.5.apakšpunktu, kurš jau būtībā aptver institūciju kompetenci.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Kompetenci raksturo subjekta  tiesības un pienākumi.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Zintis Gailītis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Investīcijas otrās kārtas ietvaros vienošanās par investīciju otrās kārtas projektu īstenošanu slēdz un investīcijas atbalstu piešķir Centrālā finanšu un līgumu aģentūra (turpmāk – atbalsta sniedzējs).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redakcionāli vienkāršot, ņemot vērā, ka "Investīcijas otrās kārtas ietvaros" jau norāda par kādiem projektiem tiek slēgta vienošanās un kāds atbalsts sniegts (investīcijas otrās kārtas).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Investīcijas otrās kārtas ietvaros vienošanās par projektu īstenošanu slēdz un atbalstu piešķir Centrālā finanšu un līgumu aģentūra (turpmāk – atbalsta sniedzējs).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Zintis Gailītis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Investīcijas otrās kārtas ietvaros finansējums tiek piešķirts investīcijas otrās kārtas projektiem šo noteikumu </w:t>
            </w:r>
            <w:r w:rsidR="00000000" w:rsidRPr="00000000" w:rsidDel="00000000">
              <w:rPr>
                <w:rtl w:val="0"/>
              </w:rPr>
              <w:t xml:space="preserve">5. </w:t>
            </w:r>
            <w:r w:rsidR="00000000" w:rsidRPr="00000000" w:rsidDel="00000000">
              <w:rPr>
                <w:rtl w:val="0"/>
              </w:rPr>
              <w:t xml:space="preserve">punktā</w:t>
            </w:r>
            <w:r w:rsidR="00000000" w:rsidRPr="00000000" w:rsidDel="00000000">
              <w:rPr>
                <w:rtl w:val="0"/>
              </w:rPr>
              <w:t xml:space="preserve"> noteiktā mērķa sasniegšanai: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Aicinām zemāk uzskaitītās institūcijas un tām paredzēto finansējuma apmēru attēlot pielikumā tabulas veidā, lai būtu pārskatāmi.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15.4. Latvijas Jūras akadēmijas konsolidācija ar Rīgas Tehnisko Universitāti - līdz 7 487 856 </w:t>
            </w:r>
            <w:r w:rsidR="00000000" w:rsidRPr="00000000" w:rsidDel="00000000">
              <w:rPr>
                <w:i w:val="1"/>
                <w:rtl w:val="0"/>
              </w:rPr>
              <w:t xml:space="preserve">euro</w:t>
            </w:r>
            <w:r w:rsidR="00000000" w:rsidRPr="00000000" w:rsidDel="00000000">
              <w:rPr>
                <w:rtl w:val="0"/>
              </w:rPr>
              <w:t xml:space="preserve">, tai skaitā nepārsniedzot Atveseļošanas fonda finansējumu – 7 186 042 </w:t>
            </w:r>
            <w:r w:rsidR="00000000" w:rsidRPr="00000000" w:rsidDel="00000000">
              <w:rPr>
                <w:i w:val="1"/>
                <w:rtl w:val="0"/>
              </w:rPr>
              <w:t xml:space="preserve">euro</w:t>
            </w:r>
            <w:r w:rsidR="00000000" w:rsidRPr="00000000" w:rsidDel="00000000">
              <w:rPr>
                <w:rtl w:val="0"/>
              </w:rPr>
              <w:t xml:space="preserve"> un valsts budžeta līdzfinansējumu – 301 814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precizēt universitātes nosaukumu.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attiecās arī uz noteikumu projekta 16.1.4. un 16.2.4.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15.4. Latvijas Jūras akadēmijas konsolidācija ar Rīgas Tehnisko universitāti - līdz 7 487 856 euro, tai skaitā nepārsniedzot Atveseļošanas fonda finansējumu – 7 186 042 euro un valsts budžeta līdzfinansējumu – 301 814 euro;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Zintis Gailītis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Investīcijas otrajā kārtā līdz 2026.gada 30.jūnijam ir sasniedzami šādi investīcijas otrās kārtas mērķa rādītāji: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zemāk uzskaitītās institūcijas un termiņu attēlot pielikumā tabulas veidā, lai būtu pārskatāmi un punktu aicinām formulēt - Investīcijas otrajā kārtā līdz 2026.gada 30.jūnijam ir sasniedzami šādi investīcijas otrās kārtas mērķa rādītāji, kas noteikti šo MK noteikumu pielikumā Nr.2.</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Atbalstāmās darbības un attiecināmās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šobrīd piedāvātā projektu īstenošanas shēma ir ārkārtīgi sarežģīta gan finansējuma saņēmējam, gan uzraugošajām institūcijām, kā arī tā ir necaurspīdīga un rada iespaidu par dubultā finansējuma risku ar ES fondu 14-20, SAM 821, 822, 823 (t.sk. react 14.111), lūdzam izvērtēt iespēju to būtiski vienkāršot, veidojot pēc principa: katram finansējuma saņēmējam ir konsolidācijas plāns, kurā paredzētas darbības iekšēju grantu veidā, kas finansētas pēc vienkāršoto izmaksu principa, savukārt, izmaksas, kas nepieciešamas saistībā ar iestāžu konsolidāciju – vienotas likmes veidā.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Rasa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PVN izmaksas finansējuma saņēmējam un tā sadarbības partneriem, kas radušās, īstenojot šo noteikumu </w:t>
            </w:r>
            <w:r w:rsidR="00000000" w:rsidRPr="00000000" w:rsidDel="00000000">
              <w:rPr>
                <w:rtl w:val="0"/>
              </w:rPr>
              <w:t xml:space="preserve">19.</w:t>
            </w:r>
            <w:r w:rsidR="00000000" w:rsidRPr="00000000" w:rsidDel="00000000">
              <w:rPr>
                <w:rtl w:val="0"/>
              </w:rPr>
              <w:t xml:space="preserve"> punktā minētās atbalstāmās darbības, un ir saistītas ar šo noteikumu </w:t>
            </w:r>
            <w:r w:rsidR="00000000" w:rsidRPr="00000000" w:rsidDel="00000000">
              <w:rPr>
                <w:rtl w:val="0"/>
              </w:rPr>
              <w:t xml:space="preserve">31.</w:t>
            </w:r>
            <w:r w:rsidR="00000000" w:rsidRPr="00000000" w:rsidDel="00000000">
              <w:rPr>
                <w:rtl w:val="0"/>
              </w:rPr>
              <w:t xml:space="preserve">, </w:t>
            </w:r>
            <w:r w:rsidR="00000000" w:rsidRPr="00000000" w:rsidDel="00000000">
              <w:rPr>
                <w:rtl w:val="0"/>
              </w:rPr>
              <w:t xml:space="preserve">32.</w:t>
            </w:r>
            <w:r w:rsidR="00000000" w:rsidRPr="00000000" w:rsidDel="00000000">
              <w:rPr>
                <w:rtl w:val="0"/>
              </w:rPr>
              <w:t xml:space="preserve">, </w:t>
            </w:r>
            <w:r w:rsidR="00000000" w:rsidRPr="00000000" w:rsidDel="00000000">
              <w:rPr>
                <w:rtl w:val="0"/>
              </w:rPr>
              <w:t xml:space="preserve">33.</w:t>
            </w:r>
            <w:r w:rsidR="00000000" w:rsidRPr="00000000" w:rsidDel="00000000">
              <w:rPr>
                <w:rtl w:val="0"/>
              </w:rPr>
              <w:t xml:space="preserve">, </w:t>
            </w:r>
            <w:r w:rsidR="00000000" w:rsidRPr="00000000" w:rsidDel="00000000">
              <w:rPr>
                <w:rtl w:val="0"/>
              </w:rPr>
              <w:t xml:space="preserve">34.</w:t>
            </w:r>
            <w:r w:rsidR="00000000" w:rsidRPr="00000000" w:rsidDel="00000000">
              <w:rPr>
                <w:rtl w:val="0"/>
              </w:rPr>
              <w:t xml:space="preserve">, </w:t>
            </w:r>
            <w:r w:rsidR="00000000" w:rsidRPr="00000000" w:rsidDel="00000000">
              <w:rPr>
                <w:rtl w:val="0"/>
              </w:rPr>
              <w:t xml:space="preserve">35.</w:t>
            </w:r>
            <w:r w:rsidR="00000000" w:rsidRPr="00000000" w:rsidDel="00000000">
              <w:rPr>
                <w:rtl w:val="0"/>
              </w:rPr>
              <w:t xml:space="preserve">, </w:t>
            </w:r>
            <w:r w:rsidR="00000000" w:rsidRPr="00000000" w:rsidDel="00000000">
              <w:rPr>
                <w:rtl w:val="0"/>
              </w:rPr>
              <w:t xml:space="preserve">36.</w:t>
            </w:r>
            <w:r w:rsidR="00000000" w:rsidRPr="00000000" w:rsidDel="00000000">
              <w:rPr>
                <w:rtl w:val="0"/>
              </w:rPr>
              <w:t xml:space="preserve">​​​​​, ,</w:t>
            </w:r>
            <w:r w:rsidR="00000000" w:rsidRPr="00000000" w:rsidDel="00000000">
              <w:rPr>
                <w:rtl w:val="0"/>
              </w:rPr>
              <w:t xml:space="preserve">37.</w:t>
            </w:r>
            <w:r w:rsidR="00000000" w:rsidRPr="00000000" w:rsidDel="00000000">
              <w:rPr>
                <w:rtl w:val="0"/>
              </w:rPr>
              <w:t xml:space="preserve">,</w:t>
            </w:r>
            <w:r w:rsidR="00000000" w:rsidRPr="00000000" w:rsidDel="00000000">
              <w:rPr>
                <w:rtl w:val="0"/>
              </w:rPr>
              <w:t xml:space="preserve"> ​​ </w:t>
            </w:r>
            <w:r w:rsidR="00000000" w:rsidRPr="00000000" w:rsidDel="00000000">
              <w:rPr>
                <w:rtl w:val="0"/>
              </w:rPr>
              <w:t xml:space="preserve">38.</w:t>
            </w:r>
            <w:r w:rsidR="00000000" w:rsidRPr="00000000" w:rsidDel="00000000">
              <w:rPr>
                <w:rtl w:val="0"/>
              </w:rPr>
              <w:t xml:space="preserve"> un </w:t>
            </w:r>
            <w:r w:rsidR="00000000" w:rsidRPr="00000000" w:rsidDel="00000000">
              <w:rPr>
                <w:rtl w:val="0"/>
              </w:rPr>
              <w:t xml:space="preserve">39.</w:t>
            </w:r>
            <w:r w:rsidR="00000000" w:rsidRPr="00000000" w:rsidDel="00000000">
              <w:rPr>
                <w:rtl w:val="0"/>
              </w:rPr>
              <w:t xml:space="preserve"> punktā minētajām attiecināmajām izmaksām, tiek segtas atbilstoši šādiem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42. punktu dzēšot liekos apakšpunktus, kas neattiecas uz finansējuma saņēmēju, ņemot vērā, ka finansējuma saņēmējs ir augstākās izglītības institūcijas.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 Finansējuma saņēmējs nozares ministrijas noteiktajā termiņā, kas nav īsāks par 20 darbdienām, iesniedz nozares ministrijai investīcijas otrās kārtas projekta iesniegumu šo noteikumu </w:t>
            </w:r>
            <w:r w:rsidR="00000000" w:rsidRPr="00000000" w:rsidDel="00000000">
              <w:rPr>
                <w:rtl w:val="0"/>
              </w:rPr>
              <w:t xml:space="preserve">45.</w:t>
            </w:r>
            <w:r w:rsidR="00000000" w:rsidRPr="00000000" w:rsidDel="00000000">
              <w:rPr>
                <w:rtl w:val="0"/>
              </w:rPr>
              <w:t xml:space="preserve"> punktā noteiktajā veidā.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 noteikumu projekta 46. punktu atbilstoši MK noteikumu projekta 17. punktam. Vienlaicīgi lūdzam papildināt, ka projekta iesniegumu iesniedz KPVIS.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Nozares ministrija, izvērtējot investīcijas otrās kārtas projekta iesnieguma atbilstību šo noteikumu </w:t>
            </w:r>
            <w:r w:rsidR="00000000" w:rsidRPr="00000000" w:rsidDel="00000000">
              <w:rPr>
                <w:rtl w:val="0"/>
              </w:rPr>
              <w:t xml:space="preserve">47.</w:t>
            </w:r>
            <w:r w:rsidR="00000000" w:rsidRPr="00000000" w:rsidDel="00000000">
              <w:rPr>
                <w:rtl w:val="0"/>
              </w:rPr>
              <w:t xml:space="preserve"> punktā noteiktajiem kvalitātes kritērijiem, sniedz atzinumu vadības informācijas sistēmā atbalsta sniedzējam un finansējuma saņēmējam par investīcijas otrās kārtas projekta iesniegumu, kā arī nosūta atzinumu elektroniska dokumenta veidā, atbilstoši elektronisko dokumentu aprites kārtību regulējošiem normatīvajiem aktiem, izmantojot atbalsta sniedzēja oficiālo elektronisko adresi un finansējuma saņēmēja oficiālo elektronisko adresi, un pozitīva atzinuma gadījumā apstiprina investīcijas otrās kārtas projekta iesniegumu vadības informācijas sistēmā. Investīcijas otrās kārtas projekta iesniedzējs investīcijas otrās kārtas projekta iesnieguma precizējums vai papildinājumus sniedz ne vairāk kā divas reizes.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kāda ir rīcība, ja projekta iesniegums netiek precizēts arī otrajā reizē.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Nozares ministrija, izvērtējot investīcijas otrās kārtas projekta iesnieguma atbilstību šo noteikumu </w:t>
            </w:r>
            <w:r w:rsidR="00000000" w:rsidRPr="00000000" w:rsidDel="00000000">
              <w:rPr>
                <w:rtl w:val="0"/>
              </w:rPr>
              <w:t xml:space="preserve">47.</w:t>
            </w:r>
            <w:r w:rsidR="00000000" w:rsidRPr="00000000" w:rsidDel="00000000">
              <w:rPr>
                <w:rtl w:val="0"/>
              </w:rPr>
              <w:t xml:space="preserve"> punktā noteiktajiem kvalitātes kritērijiem, sniedz atzinumu vadības informācijas sistēmā atbalsta sniedzējam un finansējuma saņēmējam par investīcijas otrās kārtas projekta iesniegumu, kā arī nosūta atzinumu elektroniska dokumenta veidā, atbilstoši elektronisko dokumentu aprites kārtību regulējošiem normatīvajiem aktiem, izmantojot atbalsta sniedzēja oficiālo elektronisko adresi un finansējuma saņēmēja oficiālo elektronisko adresi, un pozitīva atzinuma gadījumā apstiprina investīcijas otrās kārtas projekta iesniegumu vadības informācijas sistēmā. Investīcijas otrās kārtas projekta iesniedzējs investīcijas otrās kārtas projekta iesnieguma precizējums vai papildinājumus sniedz ne vairāk kā divas reizes.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redakcionāli precizēt 50.punktu, dzēšot pēdējo teikumu, kas attiecās uz projekta iesnieguma precizēšanu. Konkrētais punkts ir par nozares ministrijas darbībām noslēdzot vērtēšanu, vairāk attiecībā uz darbībām vadības informācijas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priekšlikums apsvērt, vai dzēstais teikums nav pārceļams uz 49.punktu, kurā ietverti noteikumi attiecībā uz projekta iesnieguma precizēšanu, kuru neievērošana noved pie negatīva lēmuma (51.punkts).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Nozares ministrija, izvērtējot investīcijas otrās kārtas projekta iesnieguma atbilstību šo noteikumu 47. punktā noteiktajiem kvalitātes kritērijiem, sniedz atzinumu vadības informācijas sistēmā atbalsta sniedzējam un finansējuma saņēmējam par investīcijas otrās kārtas projekta iesniegumu, kā arī nosūta atzinumu elektroniska dokumenta veidā, atbilstoši elektronisko dokumentu aprites kārtību regulējošiem normatīvajiem aktiem, izmantojot atbalsta sniedzēja oficiālo elektronisko adresi un finansējuma saņēmēja oficiālo elektronisko adresi, un pozitīva atzinuma gadījumā apstiprina investīcijas otrās kārtas projekta iesniegumu vadības informācijas sistēmā.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52.8. finansējuma saņēmēja pienākumu uzkrāt investīcijas otrās kārtas projekta sadarbības partneru un dalībnieku datus. Fizisko personu datu apstrāde veicama saskaņā ar Eiropas Parlamenta un Padomes 2016. gada 27. aprīļa Regulu (ES) Nr. 2016/679 par fizisku personu aizsardzību attiecībā uz personas datu apstrādi un šādu datu brīvu apriti un ar ko atceļ Direktīvu 95/46/EK (Vispārīgā datu aizsardzības regula), un nodrošinot Fizisko personu datu apstrādes likuma prasības;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norādot kādi personas dati tiks uzkrāti investīcijas ietvaros un uzkrāšanas mērķi.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Atbalsta sniedzējs, pamatojoties uz finansējuma saņēmēja rakstisku pieprasījumu un pamatojot avansa maksājuma apmēru, kas balstīts uz sagaidāmo šo noteikumu </w:t>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un </w:t>
            </w:r>
            <w:r w:rsidR="00000000" w:rsidRPr="00000000" w:rsidDel="00000000">
              <w:rPr>
                <w:rtl w:val="0"/>
              </w:rPr>
              <w:t xml:space="preserve">8.</w:t>
            </w:r>
            <w:r w:rsidR="00000000" w:rsidRPr="00000000" w:rsidDel="00000000">
              <w:rPr>
                <w:rtl w:val="0"/>
              </w:rPr>
              <w:t xml:space="preserve"> punktā definēto investīcijas otrās kārtas projekta investīcijas mērķa, investīcijas uzraudzības un nacionālo rādītāju sasniegšanas progresu, var piešķirt avansu finansējuma saņēmējam, vienlaikus nodrošinot, ka tas nepārsniedz 30 procentus no kopējā investīcijas otrās kārtas projekta īstenošanai paredzētā finansējuma.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redakcionāli precizēt 59.punktu, jo Finansējuma saņēmēja, ne CFLA, pienākums ir pamatot avansa maksājuma apmēru. CFLA veic finansējuma saņēmēja izvirzītā pamatojuma pārbaudi.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Atbalsta sniedzējs, pamatojoties uz finansējuma saņēmēja rakstisku pieprasījumu un avansa maksājuma apmēra pamatojumu, kas balstīts uz sagaidāmo šo noteikumu 7. un 8. punktā definēto investīcijas otrās kārtas projekta investīcijas mērķa, investīcijas uzraudzības un nacionālo rādītāju sasniegšanas progresu, var piešķirt avansu finansējuma saņēmējam. Avanss nepārsniedz 30 procentus no kopējā investīcijas otrās kārtas projekta īstenošanai paredzētā finansējuma.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Zintis Gailītis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 Atbalsta sniedzējs, veicot avansa un starpposma maksājumus, nodrošina, ka finansējuma saņēmējam veikto avansa un starpposma maksājumu kopsumma nepārsniedz 90 procentus no investīcijas otrās kārtas projekta kopējā finansējuma.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viena avansa maksājuma apmēru.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69.1. īstenojot investīcijas otrās kārtas projektu, finansējuma saņēmējs nodrošina investīcijas otrās kārtas projekta īstenošanas finanšu plūsmas nodalīšanu no citām finansējuma saņēmēja darbības finanšu plūsmām investīcijas otrās kārtas projekta īstenošanas laikā un piecus gadus pēc noslēguma maksājuma veikšanas;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Ministru kabineta noteikumu projekta 69.1. apakšpunktu ar vārdu “dalībvalstij” aiz vārda “veikšanas”.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Finansējuma saņēmējs pirms sadarbības partnera iesaistīšanas investīcijas otrās kārtas projekta īstenošanā noslēdz sadarbības līgumu ar šajos noteikumos noteiktajiem sadarbības partneriem par pušu savstarpējām saistībām attiecībā uz investīcijas otrās kārtas projekta īstenošanu saskaņā ar Ministru kabineta 2021. gada 7. septembra noteikumiem Nr. 621 "Eiropas Savienības Atveseļošanas un noturības mehānisma plāna īstenošanas un uzraudzības kārtība" un šiem noteikumiem un pēc pieprasījuma to iesniedz atbalsta sniedzējam.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aizstāt vārdus "Ministru kabineta 2021. gada 7. septembra noteikumiem Nr. 621 "Eiropas Savienības Atveseļošanas un noturības mehānisma plāna īstenošanas un uzraudzības kārtība"" ar vārdiem "normatīvos aktus par Atveseļošanas fonda īstenošanas un uzraudzības kārtību", pēc analoģijas kā tas minēts MK noteikumu projekta 58.punktā.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 Finansējuma saņēmējs uzņemas pilnu atbildību par investīcijas otrās kārtas projekta īstenošanu kopīgi ar sadarbības partneriem un paredzēto saistību izpildi saskaņā ar vienošanos par investīcijas otrās kārtas projekta īstenošanu.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 noteikuma projekta 75. punktu , vēršam uzmanību, ka visu atbildību par projekta īstenošanu uzņems finansējumā saņēmējs, jo līgums par investīcijas īstenošanu tiek slēgts ar finansējuma saņēmēju.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2022.gada 3.novembrī stājās spēkā grozījumi Likumā par budžeta un finanšu vadību, paredzot, ka turpmāk vidēja termiņa budžeta ietvara likumprojektu un gadskārtējā valsts budžeta likumprojektu sagatavo kā vienu likumprojektu.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labot norādīto budžeta likumprojektu nosaukumus anotācijas 3.sadaļas punktā "Cita informācija" uz nosaukumu "likumprojekta "Par valsts budžetu 2023. gadam un budžeta ietvaru 2023., 2024. un 2025. gadam"".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Trautmanis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noteikumu projekta anotācijā iekļaut informāciju par dokumentu kopumu, kas apliecinās rādītāju sasniegšanu atbilstoši AF Darbības kārtībā un tās pielikumos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Rasa Teivāne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noteikumu projektā 7.punktā minēto mērķa rādītāju sasniedzamās vērtības plānots sadalīt starp investīcijas otro un trešo kārtu, ierosinām anotācijā pamatot finansējuma un rādītāju neproporcionālu sadalījumu starp investīcijas otro un trešo kārtu.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Rasa Teivāne (CFLA)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22-TA-2792</w:t>
    </w:r>
    <w:r>
      <w:br/>
    </w:r>
    <w:r w:rsidR="00000000" w:rsidRPr="00000000" w:rsidDel="00000000">
      <w:rPr>
        <w:rtl w:val="0"/>
      </w:rPr>
      <w:t xml:space="preserve">Izdrukāts 03.01.2023. 15.45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22-TA-2792</w:t>
    </w:r>
    <w:r>
      <w:br/>
    </w:r>
    <w:r w:rsidR="00000000" w:rsidRPr="00000000" w:rsidDel="00000000">
      <w:rPr>
        <w:rtl w:val="0"/>
      </w:rPr>
      <w:t xml:space="preserve">Izdrukāts 03.01.2023. 15.45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Atzinumi_22-TA-2792.docx</dc:title>
</cp:coreProperties>
</file>

<file path=docProps/custom.xml><?xml version="1.0" encoding="utf-8"?>
<Properties xmlns="http://schemas.openxmlformats.org/officeDocument/2006/custom-properties" xmlns:vt="http://schemas.openxmlformats.org/officeDocument/2006/docPropsVTypes"/>
</file>