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apakšsadaļas “Pašreizējā situācija, problēmas un risinājumi”  punktā “Problēmas apraksts”  5.lpp. trešajā rindkopā norādīto MK noteikumu Nr.751, to precizējot uz MK noteikumiem Nr.173.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nav noteikti izmaksu ierobežojumi projekta vadības personāla izmaksām, lūdzam papildināt anotāciju: Plānojot personāla atlīdzības izmaksas, jāņem vērā Finanšu ministrijas vadlīnijas Nr. 1.2 “Vadlīnijas attiecināmo izmaksu noteikšanai Eiropas Savienības kohēzijas politikas programmas 2021. - 2027. gada plānošanas periodā” (turpmāk – Vadlīnijas). Vadlīniju 6.10. apakšpunkts nosaka, ka personāla izmaksām ir jābūt pamatotām, noteiktām atbilstoši ekonomiskuma un efektivitātes principam, to apmēram jābūt atbilstošam projekta iesniedzēja/īstenotāja iestādē esošajā atlīdzības sistēmā noteiktajam par līdzvērtīga darba veikšanu vai atbilstošām vidējai darba samaksai pēc Latvijas Republikas Centrālās statistikas pārvaldes datiem par līdzvērtīgu darbu attiecīgajā nozarē projektu iesniegumu iesniegšanas beigu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personāla atlīdzības izmaksas, jāņem vērā Finanšu ministrijas vadlīnijas Nr. 1.2 “Vadlīnijas attiecināmo izmaksu noteikšanai Eiropas Savienības kohēzijas politikas programmas 2021. - 2027. gada plānošanas periodā” (turpmāk – Vadlīnijas). Vadlīniju 6.10. apakšpunkts nosaka, ka personāla izmaksām ir jābūt pamatotām, noteiktām atbilstoši ekonomiskuma un efektivitātes principam, to apmēram jābūt atbilstošam projekta iesniedzēja/īstenotāja iestādē esošajā atlīdzības sistēmā noteiktajam par līdzvērtīga darba veikšanu vai atbilstošām vidējai darba samaksai pēc Latvijas Republikas Centrālās statistikas pārvaldes datiem par līdzvērtīgu darbu attiecīgajā nozarē projektu iesniegumu iesniegšanas beigu datumā.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Šakena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4.3.5.1. pasākuma 1. un 5. kārtas finansējuma dalījumu pa intervenčes kategorijām (Intervences laukums, Finansējuma veids, Teritoriālie sasniegšanas mehānismi, ESF+ sekundārās tēmas un Dzimumu līdztiesība), norādot intervences kodus un tam piemērojamo fondu finansējuma apjomu, lai nodrošinātu atbilstību Eiropas Savienības kohēzijas politikas programmas 2021.–2027. gadam un tās papildinājumā plānotajam.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nodrošina komunikācijas un vizuālās identitātes prasības, kas noteiktas regulas Nr. </w:t>
            </w:r>
            <w:r w:rsidR="00000000" w:rsidRPr="00000000" w:rsidDel="00000000">
              <w:rPr>
                <w:rtl w:val="0"/>
              </w:rPr>
              <w:t xml:space="preserve">2021/1060</w:t>
            </w:r>
            <w:r w:rsidR="00000000" w:rsidRPr="00000000" w:rsidDel="00000000">
              <w:rPr>
                <w:rtl w:val="0"/>
              </w:rPr>
              <w:t xml:space="preserve"> 47. un 50. pantā, normatīvajos aktos par kārtību, kādā Eiropas Savienības fondu vadībā iesaistītās institūcijas nodrošina šo fondu ieviešanu 2021.–2027. gada plānošanas periodā, tai skaitā savā tīmekļvietnē un sociālajos tīklos ievieto aktuālo informāciju par projekta īstenošanu un aktualizē to, tiklīdz pieejama jaunāka informācija, bet ne retāk kā reizi sešos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projekts paredz svītrot no MK noteikumu 46.5. apakšpunkta atsauci uz Eiropas Savienības fondu 2021.–2027. gada plānošanas perioda un Atveseļošanas fonda komunikācijas un dizaina vadlīnijām (turpmāk - Vadlīnijas), lūdzam papildināt anotāciju ar skaidrojumu, ka, neskatoties uz minētās atsauces svītrošanu, Vadlīnijas ir saistošas finansējuma saņēmējiem un tajās ietvertās prasības ir jāievēro saskaņā ar līguma/ vienošanās par projekta īstenošanu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22.10.2025.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25-TA-2426</w:t>
    </w:r>
    <w:r>
      <w:br/>
    </w:r>
    <w:r w:rsidR="00000000" w:rsidRPr="00000000" w:rsidDel="00000000">
      <w:rPr>
        <w:rtl w:val="0"/>
      </w:rPr>
      <w:t xml:space="preserve">Izdrukāts 22.10.2025.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Atzinumi_25-TA-2426.docx</dc:title>
</cp:coreProperties>
</file>

<file path=docProps/custom.xml><?xml version="1.0" encoding="utf-8"?>
<Properties xmlns="http://schemas.openxmlformats.org/officeDocument/2006/custom-properties" xmlns:vt="http://schemas.openxmlformats.org/officeDocument/2006/docPropsVTypes"/>
</file>