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w:t>
            </w:r>
            <w:r w:rsidR="00000000" w:rsidRPr="00000000" w:rsidDel="00000000">
              <w:rPr>
                <w:rtl w:val="0"/>
              </w:rPr>
              <w:t xml:space="preserve">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faktisko izmaksu piemērošanas gadījumā tiešajās attiecināmajās personāla izmaksās var iekļaut to darbinieku personāla izmaksas, kuri noteiktā laika posmā ne mazāk kā 30% no normālā darba laika katrā mēnesī veic pienākumus, kas saistīti ar projektu, un tas ir pamatots ar atbilstošiem izmaksas pamatojošiem dokumentiem (attiecas uz daļlaika izmaksu attiecināšanas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noteikumu projektu ar nosacījumu, ka otrās kārtas personāla izmakas daļlaika gadījumā ir attiecināmas, ja vismaz 30% no normālā darba laika strādā ar projektu, kā arī iekļaut ierobežojumu projekta vadības personāla izmaksām atbilstoši vadošās iestādes vadlīnijām Nr.1.2 "Vadlīnijas attiecināmo izmaksu noteikšanai 2021.-2027.gada plānošanas periodā", kur noteikts, ka projektiem ar tiešām attiecināmām izmaksām līdz 5 milj. EUR (ieskaitot), tiešajām attiecināmajām projekta vadības personāla izmaksām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argumentāciju par atteikšanos no vienkāršoto izmaksu piemērošanas personāla izmaksām pasākuma otrās kārtas ietvaros. Vēršam uzmanību, ka no pašlaik anotācijā iekļautā skaidrojuma secināms, ka dati metodikas izstrādei faktiski ir pieejami, kā arī atgādinām, ka vienkāršoto izmaksu izstrādes galvenais mērķis ir mazināt administratīvo slogu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ietverto tiesību normu, lūdzam papildināt anotācijas 1. sadaļas “Tiesību akta projekta izstrādes nepieciešamība” 1.3. apakšsadaļu “Pašreizējā situācija, problēmas un risinājumi” ar informāciju par grozījuma ietekmi uz īstenotajiem projektiem, kā arī skaidrojumu, vai tiks veikti grozījumi līgumā par projekta īstenošanu, un vai grozījumi līgumā par projekta īstenošanu neietekmē projekta mērķi un nosacījumus, tādējādi traucējot tā sākotnējo mērķu sasniegšanu, proti, vai grozījumi nav uzskatāmi par būtiskiem,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Otrās kārtas ietvaros šo noteikumu </w:t>
            </w:r>
            <w:r w:rsidR="00000000" w:rsidRPr="00000000" w:rsidDel="00000000">
              <w:rPr>
                <w:shd w:fill="#e0ffff" w:val="clear"/>
                <w:rtl w:val="0"/>
              </w:rPr>
              <w:t xml:space="preserve">28.1.</w:t>
            </w:r>
            <w:r w:rsidR="00000000" w:rsidRPr="00000000" w:rsidDel="00000000">
              <w:rPr>
                <w:rtl w:val="0"/>
              </w:rPr>
              <w:t xml:space="preserve"> apakšpunktā minēto ģeogrāfisko (reģionālo) sadarbības tīklu projektu iesniegumos norādītās teritorijas pēc projektu iesniegumu atlases savā starpā nedrīkst pārklāties.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03.09.2024. kopīgajā sapulcē ar Ekonomikas ministrijas pārstāvjiem sniegto skaidrojumu, ka sadarbības tīklu teritorijas drīkst pārklāties, lūgums anotācijā iekļaut skaidrojumu, kādos gadījumos projektu īstenošanas laikā sadarbības tīklu projektu iesniegumos norādītās teritorijas drīkst pārklāties.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Vasipa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Pirmās kārtas ietvaros aģentūrai, sadarbības tīklam un sadarbības tīkla dalībniekiem šo noteikumu </w:t>
            </w:r>
            <w:r w:rsidR="00000000" w:rsidRPr="00000000" w:rsidDel="00000000">
              <w:rPr>
                <w:rtl w:val="0"/>
              </w:rPr>
              <w:t xml:space="preserve">33.</w:t>
            </w:r>
            <w:r w:rsidR="00000000" w:rsidRPr="00000000" w:rsidDel="00000000">
              <w:rPr>
                <w:rtl w:val="0"/>
              </w:rPr>
              <w:t xml:space="preserve"> punktā minēto atbalstāmo darbību īstenošanai paredzētas šādas 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34.punktu, no kura dzēst "sadarbības tīklam un sadarbības tīkla dalībniekiem", jo 33. punkts ir attiecināms uz pirmo kārtu.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Pirmās kārtas ietvaros aģentūrai šo noteikumu 33. punktā minēto atbalstāmo darbību īstenošanai paredzētas šādas 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Vasipa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Attiecībā uz visām šo noteikumu </w:t>
            </w:r>
            <w:r w:rsidR="00000000" w:rsidRPr="00000000" w:rsidDel="00000000">
              <w:rPr>
                <w:shd w:fill="#e0ffff" w:val="clear"/>
                <w:rtl w:val="0"/>
              </w:rPr>
              <w:t xml:space="preserve">42.</w:t>
            </w:r>
            <w:r w:rsidR="00000000" w:rsidRPr="00000000" w:rsidDel="00000000">
              <w:rPr>
                <w:rtl w:val="0"/>
              </w:rPr>
              <w:t xml:space="preserve"> punktā minētajām izmaksām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44. punktu, jo tajā minētās metodikas ir attiecināmas uz iekšzemes komandējumu izdevumiem.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Attiecībā uz šo noteikumu 42. punktā minētajām iekšzemes komandējumu izmaksām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Vasipa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w:t>
            </w:r>
            <w:r w:rsidR="00000000" w:rsidRPr="00000000" w:rsidDel="00000000">
              <w:rPr>
                <w:rtl w:val="0"/>
              </w:rPr>
              <w:t xml:space="preserve">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atbilstoši 13.09.2024. Nr. 3.7-9.16/2024/5056N  Ekonomikas ministrijas skaidrojumam, norādot kā tiek attiecinātas 42.1. izmaksas līdz šo grozījumu stāšanās spēkā brīdim un turpmāk.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Vasipa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65.7. uzkrāt datus par atbalstu saņēmušajiem sadarbības tīkla dalībniekiem sadalījumā pa dzimumiem;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rosina dzēst 65.7. punktu, jo šo datu monitoringam var izmantot Lursoft vai Uzņēmuma reģistra datus par amatpersonu sastāvu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Vasipa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77.3. uz projekta iesniedzēju un sadarbības tīkla dalībnieku attiecas līdzekļu atgūšanas rīkojums, kas minēts regulas Nr.  </w:t>
            </w:r>
            <w:r w:rsidR="00000000" w:rsidRPr="00000000" w:rsidDel="00000000">
              <w:rPr>
                <w:rtl w:val="0"/>
              </w:rPr>
              <w:t xml:space="preserve">651/2014</w:t>
            </w:r>
            <w:r w:rsidR="00000000" w:rsidRPr="00000000" w:rsidDel="00000000">
              <w:rPr>
                <w:rtl w:val="0"/>
              </w:rPr>
              <w:t xml:space="preserve">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pasākuma ietvaros plānots piešķirt saskaņā ar Komisijas regulu Nr.2023/2831, nosacījumi, ko paredz citi komercdarbības atbalsta regulējumi nav jāiekļauj. Attiecīgi aicinām dzēst nosacījumu par atbilstību regulas Nr.651/2014 1.panta 4.punkta "a" apakšpunktā noteiktajam  vai arī sniegt anotācijā skaidrojumu par to, kādēļ tiesību akta izstrādātājs paredzējis stingrākus nosacījumus noteikumos, nekā to paredz Komisijas regula Nr.2023/2831.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Pirmās kārtas ietvaros aģentūra atbalstu sadarbības tīklam un sadarbības tīkla dalībniekiem sniedz un uzskaita saskaņā ar regulu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gada 1.jūlijā stājušies spēkā grozījumi Ministru kabineta 2018. gada 21. novembra noteikumos Nr. 715 "De minimis atbalsta uzskaites un piešķiršanas kārtība", lūdzam precizēt attiecīgā normatīvā akta nosaukumu un svītrot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lūdzam precizēt arī noteikumu 83.punktu.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Sadarbības tīklam un katram sadarbības tīkla dalībniekam plānotais atbalsta apmērs viena vienota uzņēmuma līmenī kopā ar attiecīgajā fiskālajā gadā un iepriekšējos divos fiskālajos gados piešķirto </w:t>
            </w:r>
            <w:r w:rsidR="00000000" w:rsidRPr="00000000" w:rsidDel="00000000">
              <w:rPr>
                <w:i w:val="1"/>
                <w:rtl w:val="0"/>
              </w:rPr>
              <w:t xml:space="preserve">de minimis </w:t>
            </w:r>
            <w:r w:rsidR="00000000" w:rsidRPr="00000000" w:rsidDel="00000000">
              <w:rPr>
                <w:rtl w:val="0"/>
              </w:rPr>
              <w:t xml:space="preserve">atbalstu nedrīkst pārsniegt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Komercdarbības atbalsta piešķiršanu, aprēķināšanu un uzskaiti sadarbības tīklam veic sadarbības iestāde, sadarbības tīkla dalībniekam – sadarbības tīkls vai pirmās kārtas ietvaros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 Nr.2023/2831 paredz piešķirtā atbalsta pārbaudi kalendāro, nevis fiskālo, gadu ietvaros, kā arī pārbaudes periods ir 3 gadi, lūdzam precizēt noteikumu 84.punktu, nodrošinot tā korektu atbilstību Komisijas regulas Nr.2023/2831 3.panta 2.punkta nosacījumiem, piemēram, izsakot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pārskatīt un precizēt arī anotācijā sniegto skaidrojumu, papildinot to ar informāciju, ka Komisijas regulas Nr.2023/2831 ietvaros trīs gadu laikposms ir jāvērtē kā slīdošs periods,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jauna atbalsta piešķiršanas tiek pārbaudīts, vai sadarbības tīklam un katram sadarbības tīkla dalībniekam plānotais de minimis atbalsts kopā ar iepriekšējos trīs gados, skaitot no atbalsta piešķiršanas dienas, piešķirto de minimis atbalstu viena vienota uzņēmuma līmenī nepārsniedz regulas Nr.2023/2831 3.panta 2.punktā noteikto maksimālo de minimis atbalsta apmēru. Komercdarbības atbalsta piešķiršanu, aprēķināšanu un uzskaiti sadarbības tīklam veic sadarbības iestāde, sadarbības tīkla dalībniekam – sadarbības tīkls vai pirmās kārtas ietvaros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24-TA-2300</w:t>
    </w:r>
    <w:r>
      <w:br/>
    </w:r>
    <w:r w:rsidR="00000000" w:rsidRPr="00000000" w:rsidDel="00000000">
      <w:rPr>
        <w:rtl w:val="0"/>
      </w:rPr>
      <w:t xml:space="preserve">Izdrukāts 28.10.2024.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24-TA-2300</w:t>
    </w:r>
    <w:r>
      <w:br/>
    </w:r>
    <w:r w:rsidR="00000000" w:rsidRPr="00000000" w:rsidDel="00000000">
      <w:rPr>
        <w:rtl w:val="0"/>
      </w:rPr>
      <w:t xml:space="preserve">Izdrukāts 28.10.2024.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Atzinumi_24-TA-2300.docx</dc:title>
</cp:coreProperties>
</file>

<file path=docProps/custom.xml><?xml version="1.0" encoding="utf-8"?>
<Properties xmlns="http://schemas.openxmlformats.org/officeDocument/2006/custom-properties" xmlns:vt="http://schemas.openxmlformats.org/officeDocument/2006/docPropsVTypes"/>
</file>