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23-TA-1437: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konceptuālā ziņojuma projekta VII sadaļā 2.risinājuma varianta otrajam pasākumam norādīto informāciju, ka 2.risinājuma varianta otrā pasākuma otrajai un trešajai nodaļai nav nepieciešams izveidot papildu štata vietu, nav saprotams, vai risinājuma varianta otrā pasākuma pirmajai nodaļai, ceturtajai nodaļai, piektajai nodaļai un sestajai nodaļa papildu amata vietas ir nepieciešamas. Līdz ar to lūdzam precizēt informāciju, norādot, ka 2.risinājuma varianta otrajam pasākumam nav nepieciešamas papildu štata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konceptuālā ziņojuma projekta pielikumā norādīto, ka 2.risinājuma otrajam pasākumam nav nepieciešams finansējums, nepieciešams precizēt konceptuālā ziņojuma projekta VII sadaļas 2.risinājuma varianta otrā pasākuma informāciju (40.lpp.), norādot, ka arī otrajai un trešajai nodaļai nav ietekmes uz budžetu. Vienlaikus aicinām salāgot terminoloģiju attiecībā uz 2.risinājuma otro pasākumu, jo konceptuālā ziņojuma projekta VI sadaļā tiek lietots termins “daļa”, savukārt konceptuālā ziņojuma projekta VII sadaļā tiek lietots termins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projektā un tā pielikumā norādīts, ka prognozētā papildu nepieciešamā finansējuma aprēķini ir indikatīvi, kas balstīti uz prioritāro pasākumu pieteikumiem 2023.-2025. gadam. Uzskatām, ka aprēķini būtu precizējami atbilstoši aktuālajai situācijai, līdz ar to precizējams konceptuālā ziņojuma projekts un tā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konceptuālā ziņojuma projekta 2.risinājumam tiek norādīts, ka nepieciešams papildu valsts budžeta finansējums, konceptuālā ziņojuma projekts papildināms ar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nav atbalstāms ziņojuma projekta 2.risinājuma varianta pirmais pasākums: samazināt PVN likmi recepšu zālēm no 12% uz 5%. Uzskatām, ka jautājums par PVN likmes apmēra pārskatīšanu zāļu piegādēm vērtējams Valsts nodokļu politikas pamatnostādņu 2024.-2027.gadam izstrādes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Fiskālās disciplīnas likuma, kas sākot ar 2023. gadu ir spēkā pilnā mērā, 9. pantu - tādu budžeta ietekmējošo normatīvo aktu pieņemšana, kas izraisa likumā par valsts budžetu kārtējam gadam un vidēja termiņa budžeta ietvaru plānoto valsts budžeta ieņēmumu samazinājumu, nav pieļaujama bez ieņēmumu samazinājuma kompensējošu pasākumu vienlaicīgas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22.06.2023.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22.06.2023.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Atzinumi_23-TA-1437.docx</dc:title>
</cp:coreProperties>
</file>

<file path=docProps/custom.xml><?xml version="1.0" encoding="utf-8"?>
<Properties xmlns="http://schemas.openxmlformats.org/officeDocument/2006/custom-properties" xmlns:vt="http://schemas.openxmlformats.org/officeDocument/2006/docPropsVTypes"/>
</file>