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pasākuma "Augstskolu studiju vides modernizācija" pirmās, otrās un trešās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Latvijas Universitātei – 7 937 368 </w:t>
            </w:r>
            <w:r w:rsidR="00000000" w:rsidRPr="00000000" w:rsidDel="00000000">
              <w:rPr>
                <w:i w:val="1"/>
                <w:rtl w:val="0"/>
              </w:rPr>
              <w:t xml:space="preserve">euro</w:t>
            </w:r>
            <w:r w:rsidR="00000000" w:rsidRPr="00000000" w:rsidDel="00000000">
              <w:rPr>
                <w:rtl w:val="0"/>
              </w:rPr>
              <w:t xml:space="preserve"> (tai skaitā Latvijas Universitātes aģentūrai "Latvijas Universitātes Rīgas 1. medicīnas koledža" – 742 708 </w:t>
            </w:r>
            <w:r w:rsidR="00000000" w:rsidRPr="00000000" w:rsidDel="00000000">
              <w:rPr>
                <w:i w:val="1"/>
                <w:rtl w:val="0"/>
              </w:rPr>
              <w:t xml:space="preserve">euro</w:t>
            </w:r>
            <w:r w:rsidR="00000000" w:rsidRPr="00000000" w:rsidDel="00000000">
              <w:rPr>
                <w:rtl w:val="0"/>
              </w:rPr>
              <w:t xml:space="preserve">; Latvijas Universitātes P.Stradiņa medicīnas koledžai – 910 888 </w:t>
            </w:r>
            <w:r w:rsidR="00000000" w:rsidRPr="00000000" w:rsidDel="00000000">
              <w:rPr>
                <w:i w:val="1"/>
                <w:rtl w:val="0"/>
              </w:rPr>
              <w:t xml:space="preserve">euro</w:t>
            </w:r>
            <w:r w:rsidR="00000000" w:rsidRPr="00000000" w:rsidDel="00000000">
              <w:rPr>
                <w:rtl w:val="0"/>
              </w:rPr>
              <w:t xml:space="preserve">; Latvijas Universitātes Rīgas Medicīnas koledžai – 969 386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Izglītības un zinātnes ministriju papildināt noteikuma projekta anotāciju ar skaidrojumu par finansējuma sadalījumu starp medicīnas koledžām, jo no sniegtā apraksta anotācijā nav saprotams, kāpēc RSU Sarkanā Krusta medicīnas koledžai salīdzinot ar LU Rīgas medicīnas koledžu, finansējuma apjoms paredzēts apmēram par 200 000 euro mazāk, neskatoties uz to, ka studējošo skaita ziņā (un īstenoto STEM programmu ziņā) LU Rīgas medicīnas koledža ir mazāka par RSU Sarkanā Krusta medicīnas koledžu.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37.1.6. Rīgas Stradiņa universitātei – (tai skaitā Rīgas Stradiņa universitātes aģentūrai "Rīgas Stradiņa universitātes Sarkanā Krusta medicīnas koledža") – vismaz 1123 studējošie;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vai modernizētu izglītības iestāžu klašu telpu ietilpība un jauno vai modernizēto izglītības iestāžu lietotāju skaits gadā,  kuriem par pamatu ir ņemts  pieņēmums, ka infrastruktūru izmantos 30% STEM studējošo, bet nav ņemts vērā studiju izmaksu koeficients pa tematiskajām jomām. Ņemot vērā, ka Rīgas Stradiņa universitāte plāno projekta finansējumu novirzīt studiju programmai "Zobārstniecība", kura ir pati dārgākā studiju programma ar koeficientu 5,1, kur matemātikai un statistikai tas ir 2,5 , inženierzinātnēm 2,9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arī pirmā līmeņa augstākās izglītības programmās veselības aprūpes jomā šobrīd lielākā uzmanība tiek pievērsta pacientu drošības aspektiem un studiju programmās interaktīvi iekļauta simulācijas metode, kas, pēc būtības, nav piemērojama kvantitatīvi - studējošie preklīniskās laboratorijās apgūst dažādas manipulācijas simulācijās, un tas nav iespējams milzu auditorijās ar daudzskaitlīgiem klausītājiem (standarta lekciju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aicina pārskatīt, rādītāju noteikšanas metodoloģiju, nodrošinot, ka augstākās izglītības iestādes finansējumu var novirzīt arī finanšu ietilpīgās programmās, kur studentu skaits pret finansējumu ievērojami pārsniedz rādītāju pasē noteiktos pieņēmumus.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Publiskos iepirkumus finansējuma saņēmēji un sadarbības partneri (ja attiecināms) veic atklātā, pārredzamā, nediskriminējošā, konkurenci nodrošinošā procedūrā saskaņā ar normatīvajiem aktiem publisko iepirkumu jomā un, kur tas ir attiecināms, īsteno sociāli atbildīgus un inovatīvus publiskos iepirkumus, kā arī sekmē zaļā publiskā iepirkuma prasību ievērošanu saskaņā ar normatīvajiem aktiem par prasībām zaļajam publiskajam iepirkumam un to piemērošanas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noteikumu projekta 78.punktu, jo esošā redakcija attiecināma tikai uz zaļajiem publiskajiem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projekta īstenošanai nepieciešamo preču un pakalpojumu iegādi veic atklātā, pārredzamā, nediskriminējošā un konkurenci nodrošinošā procedūrā saskaņā ar publisko iepirkumu reglamentējošajiem normatīvajiem aktiem, izvērtējot iespējas īstenot sociāli atbildīgu publisko iepirkumu un inovatīvu publisko iepirkumu. Atbalstāma ir vides prasību un inovatīva risinājuma integrācija preču un pakalpojumu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24-TA-541</w:t>
    </w:r>
    <w:r>
      <w:br/>
    </w:r>
    <w:r w:rsidR="00000000" w:rsidRPr="00000000" w:rsidDel="00000000">
      <w:rPr>
        <w:rtl w:val="0"/>
      </w:rPr>
      <w:t xml:space="preserve">Izdrukāts 03.12.2024.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24-TA-541</w:t>
    </w:r>
    <w:r>
      <w:br/>
    </w:r>
    <w:r w:rsidR="00000000" w:rsidRPr="00000000" w:rsidDel="00000000">
      <w:rPr>
        <w:rtl w:val="0"/>
      </w:rPr>
      <w:t xml:space="preserve">Izdrukāts 03.12.2024.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Atzinumi_24-TA-541.docx</dc:title>
</cp:coreProperties>
</file>

<file path=docProps/custom.xml><?xml version="1.0" encoding="utf-8"?>
<Properties xmlns="http://schemas.openxmlformats.org/officeDocument/2006/custom-properties" xmlns:vt="http://schemas.openxmlformats.org/officeDocument/2006/docPropsVTypes"/>
</file>