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māksliniecisko kolektīvu vadītāju darba samaksas finansēšanas kārtību no 2024. gada”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Konceptuālā ziņojuma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Konceptuālais ziņojums ”Par māksliniecisko kolektīvu vadītāju darba samaksas finansēšanas kārtību no 2024.gada”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Konceptuālā ziņojuma 18.lpp. LPS apstiprina, ka ir jāsaglabā princips " Mērķdotāciju dalīt, ņemot vērā mākslinieciskā kolektīva kvalitātes grupu. Saglabāt kolektīvu dalījumu grupās G1 un G2"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Ināra Dundure (LPS)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Konceptuālā ziņojuma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Konceptuālais ziņojums ”Par māksliniecisko kolektīvu vadītāju darba samaksas finansēšanas kārtību no 2024.gada”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pārbaudīt konceptuālā ziņojuma tekstu, lietojot lielo vai mazo sākuma būrtu vārdam "Dziesmu" svētki.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Ināra Dundure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26.06.2024.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26.06.2024.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