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papildināto skaidrojumu anotācijā par Slimību profilakses un kontroles centra atbilstību sākotnēji finansējuma saņēmējam izvirzītajiem projekta iesnieguma vērtēšanas kritērijiem, lūdzam papildus norādīt iemeslus un apstākļus, kādēļ Veselības ministrijai nav lietderīgi turpināt iesākto projekta īstenošanu, un Slimību profilakses un kontroles centram nepieciešams pārņemt projekta funkcijas un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19.02.2026. 21.35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19.02.2026. 21.35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