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9. maija noteikumos Nr. 376 "Zāļu reģistrēšanas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Ja, pieņemot kādu no šo noteikumu 11.1. vai 11.2.apakšpunktā minētajiem lēmumiem, mainās zāļu reģistrācijas apliecībā norādītie dati (piemēram, zāļu nosaukums, reģistrācijas īpašnieks, informācija par iepakojumu). Zāļu valsts aģentūra triju darbdienu laikā pēc lēmuma pieņemšanas nodrošina jaunas zāļu reģistrācijas apliecības publicēšanu elektroniska dokumenta formā, kas parakstīts ar drošu elektronisko parakstu, Zāļu valsts aģentūras tīmekļa 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 panta sestā daļa paredz valsts pārvaldei pienākumu vienkāršot un uzlabot procedūras privātpersonas labā. Atsakoties no dokumenta nosūtīšanas, tiek uzlikts slogs par pastāvīgu tīmekļvietnes monitorēšanu, lai nekavējoties pēc publicēšanas savā rīcībā iegūtu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Oficiālās elektroniskās adreses likuma 5. panta pirmās daļas 2. punkts oficiālās elektroniskās adreses izmantošanu nosaka par obligātu Uzņēmumu reģistra reģistros reģistrētajiem tiesību subjektiem un, savukārt šā paša likuma 12. panta pirmā daļa paredz, ka, ja ir aktivizēts oficiālās elektroniskās adreses konts, valsts iestāde un privātpersona sazinās elektroniski un elektronisko dokumentu nosūta, izmantojot oficiālo elektronisko adresi, tad, līdz ar to, lūdzam, precizēt normas 11.</w:t>
            </w:r>
            <w:r w:rsidR="00000000" w:rsidRPr="00000000" w:rsidDel="00000000">
              <w:rPr>
                <w:vertAlign w:val="superscript"/>
                <w:rtl w:val="0"/>
              </w:rPr>
              <w:t xml:space="preserve">2</w:t>
            </w:r>
            <w:r w:rsidR="00000000" w:rsidRPr="00000000" w:rsidDel="00000000">
              <w:rPr>
                <w:rtl w:val="0"/>
              </w:rPr>
              <w:t xml:space="preserve"> un 122.8. punktos un arī atbilstošo saturu anotācijā, paredzot arī dokumentu nosūtīšanu uz oficiālo elektronisko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122.8. triju darbdienu laikā no attiecīga lēmuma pieņemšanas publicē Zāļu valsts aģentūras tīmekļa vietnē zāļu reģistrācijas apliecību elektroniska dokumenta formā, kas parakstīts ar drošu elektronisko parakstu;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atklātības likuma (IAL) 10. panta 2. punkts noteic, ka ievērojot labas pārvaldības principu, iestāde pēc savas iniciatīvas nodrošina piekļuvi noteikta veida vispārpieejamai informācijai. Savukārt, IAL 10. panta 2.1 punkts noteic, ka vispārpieejamai informācijai, ko ievieto internetā, iestāde pēc savas iniciatīvas, ja tas ir lietderīgi, nodrošina piekļuvi atvērto datu veidā kopā ar informācijas metadatiem.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norādīt, ka Eiropas Parlamenta un Padomes Direktīvas (ES) 2022/2464 preambulas 55. punkts noteic, ka digitalizācija rada iespējas efektīvāk izmantot informāciju, kā arī sniedz iespēju datus centralizēt Eiropas Savienības un dalībvalstu līmenī atvērtā un pieejamā formātā, kas atvieglo lasīšanu un ļauj datus salīdzināt.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aicinām izvērtēt un rast iespēju paredzēt, ka informācija par lēmuma pieņemšanu zāļu reģistrācijas apliecības jomā atvērto datu veidā tiek publicēta arī Latvijas Atvērto datu portālā (data.gov.lv).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Laima Amatniece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25-TA-108</w:t>
    </w:r>
    <w:r>
      <w:br/>
    </w:r>
    <w:r w:rsidR="00000000" w:rsidRPr="00000000" w:rsidDel="00000000">
      <w:rPr>
        <w:rtl w:val="0"/>
      </w:rPr>
      <w:t xml:space="preserve">Izdrukāts 14.02.2025. 21.06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25-TA-108</w:t>
    </w:r>
    <w:r>
      <w:br/>
    </w:r>
    <w:r w:rsidR="00000000" w:rsidRPr="00000000" w:rsidDel="00000000">
      <w:rPr>
        <w:rtl w:val="0"/>
      </w:rPr>
      <w:t xml:space="preserve">Izdrukāts 14.02.2025. 21.06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Atzinumi_25-TA-108.docx</dc:title>
</cp:coreProperties>
</file>

<file path=docProps/custom.xml><?xml version="1.0" encoding="utf-8"?>
<Properties xmlns="http://schemas.openxmlformats.org/officeDocument/2006/custom-properties" xmlns:vt="http://schemas.openxmlformats.org/officeDocument/2006/docPropsVTypes"/>
</file>