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iemaksām ANO Augstā pārstāvja vismazāk attīstītajās valstīs, iekšzemes jaunattīstības valstīs un mazo salu jaunattīstības valstīs biroja trasta fonda, ANO Ģenerālsekretāra īpašās pārstāves seksuālās vardarbības konfliktos novēršanas biroja, ANO Miera veidošanas komisijas fonda, Pasaules Pārtikas programmas, ANO Humānās palīdzības koordinācijas aģentūras budžetos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29.04.2024.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29.04.2024.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Atzinumi_24-TA-889.docx</dc:title>
</cp:coreProperties>
</file>

<file path=docProps/custom.xml><?xml version="1.0" encoding="utf-8"?>
<Properties xmlns="http://schemas.openxmlformats.org/officeDocument/2006/custom-properties" xmlns:vt="http://schemas.openxmlformats.org/officeDocument/2006/docPropsVTypes"/>
</file>