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kooperatīvu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Pasākuma ietvaros līdz 2029. gadam sasniedzams šāds nacionālais rādītājs - atbalstīto komersantu darba spēka produktivitātes pieaugums – vismaz 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līdz 2029. gadam sasniedzams šāds nacionālais rādītājs - atbalstīto komersantu darba spēka produktivitātes pieaugums – vismaz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vidēju ikgadējo pieaugumu noteiktā laika posmā, piemēram, vidēji 2% gadā piecu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formulējums precīzāk nosaka minimāli vajadzīgo pieauguma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Feldmanis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23.11.2023. 10.55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23.11.2023. 10.55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Atzinumi_23-TA-2977.docx</dc:title>
</cp:coreProperties>
</file>

<file path=docProps/custom.xml><?xml version="1.0" encoding="utf-8"?>
<Properties xmlns="http://schemas.openxmlformats.org/officeDocument/2006/custom-properties" xmlns:vt="http://schemas.openxmlformats.org/officeDocument/2006/docPropsVTypes"/>
</file>