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uztur iepriekš paustos priekšlikumus un aicina tos ņemt vērā, pilnveidojot informatīvā ziņojuma redakciju. Vienlaikus LFNA ieskatā nepieciešams skaidrāk pamatot, kā piedāvātais modelis nodrošina atbalsta mērķēšanu uz sociāli visneaizsargātākajām personām, ņemot vērā, ka izvēlētais risinājums lielā mērā balstās uz vidējiem rādītājiem un vecuma kritēriju.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reformas gala posmā paredzētā papildu atbalsta piešķiršana visiem vecuma pensiju saņēmējiem neatkarīgi no viņu pensijas apmēra pēc būtības ir universāla pieeja, kas ir ne tikai fiskāli ļoti ietilpīga, bet arī ierobežo iespējas mērķēti novirzīt publiskos resursus personām ar visaugstāko sociālo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piedāvātais risinājums ir strukturāls ilgtermiņa pasākums, LFNA ieskatā nepieciešams padziļinātāks pamatojums gan izvēlētajai pieejai, gan tās priekšrocībām salīdzinājumā ar alternatīviem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Čistjakova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02.06.2026.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02.06.2026.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