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ir iepazinusies ar noteikumu autoru pievienoto komentāru par faktu, ka Izglītības un zinātnes ministrijas 22.12.2023. iebildums nav ņemts vērā, un piekrīt skaidrojumā minētajam, tādējādi iebildumu vairs neuzturot. Tomēr ņemot vērā minēto secināms, ka lai nodrošinātu datu apmaiņu kā paredzēts noteikumu projektā, nepieciešama informācijas sistēmas pilnveidojumu izstrāde arī attiecībā uz Izglītības un zinātnes ministrijas pārziņā esošo Valsts izglītības informācijas sistēmu. Lūdzam papildināt anotācijas 3. sadaļu ar nepieciešamo papildus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EUR (vidējā stundas likme, izmantota arī citos aprēķinos noteikumu projektā) * 150 cilvēkstundas = 9000 EUR (bez PVN), kas sastāda 10890 EUR ar pievienotās vērtības nodokli. Lūdzam anotācijā norādīt arī finansējuma avotu, vienlaikus norādot, ka Izglītības un zinātnes ministrijas 2024. gada budžetā šāda finansējuma nav.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Veldre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3.3.6. atzīme par to, ka pilngadīgā persona, kura nav sasniegusi 24 gadu vecumu, turpina iegūt vispārējo, profesionālo vai augstāko izglītību;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vai izziņā skaidrot, ko nozīmē turpina iegūt (..) izglītību, t.i., vai šajā datu apmaiņā jāiekļauj arī tie studējošie, kas ir reģistrēti izglītības iestādē, bet atrodas mācību pārtraukumos.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Veldre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21.03.2024. 08.39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21.03.2024. 08.39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