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36.2.4.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(HP VINPI) īstenošanai un uzraudzībai (2021-2027) [1], pasākumos, kuriem nav ietekmes uz horizontālo principu, projekta īstenotājam nav pienākums uzkrāt datus par HP VINPI rādītājiem. Vienlaikus, projekta iesniedzējs var izvēlēties īstenot HP VINPI darbības un attiecīgi uzkrāt datus par HP VINPI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36.2.4. vienlīdzība, iekļaušana, nediskriminācija un pamattiesību ievērošana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13.08.2024.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13.08.2024.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Atzinumi_24-TA-1532.docx</dc:title>
</cp:coreProperties>
</file>

<file path=docProps/custom.xml><?xml version="1.0" encoding="utf-8"?>
<Properties xmlns="http://schemas.openxmlformats.org/officeDocument/2006/custom-properties" xmlns:vt="http://schemas.openxmlformats.org/officeDocument/2006/docPropsVTypes"/>
</file>