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(VMD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ir minēts, ka “Tā kā Eiropas Savienības nozīmes biotopos (turpmāk– biotopi) ar normatīvajiem aktiem nav noteikts galvenās cirtes aizliegums, nav juridiska pamata tos izslēgt no maksimāli pieļaujamā galvenās cirtes apjoma aprēķina. Kamēr biotopam ar normatīvajiem aktiem nav noteikts aizsardzības statuss, biotopa aizsardzība ir meža īpašnieka brīva griba.” VARAM nevar piekrist šādam apgalvojumam, jo maksimāli pieļaujamais koku ciršanas apjoms galvenajā cirtē 2026.–2030.gadam ir rēķināts valsts mežiem, proti, mežiem, kuru īpašnieks ir valsts. Attiecīgi valsts (meža īpašnieks) nedrīkst pieļaut apzinātu biotopu iznīcināšanu, ņemot vērā, ka joprojām nav novērsta Eiropas Komisijas ierosinātā pārkāpumu procedūra pret Latvijas valsti par nepietiekošu ES nozīmes meža biotopu aizsardzību. ES biotopu iekļaušana maksimāli pieļaujamā ciršanas apjoma aprēķinā nonāk arī pretrunā ar Sugu un biotopu aizsardzības likuma 9.pantu, kas nosaka, ka zemes īpašniekam (šajā gadījumā valstij) ir pienākums veicināt sugu un biotopu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meži” ir piešķirtas tiesības koksnes ieguvei no atmežošanas darbiem, kas tiek veikti ierīkojot valsts robežu, militāro infrastruktūru, atmežojot platības Rail Baltic vajadzībām, kā arī maksimāli pieļaujamajā ciršanas apjomā netiek ieskaitīta koksne, kas iegūta no sanitārajām cirtēm (kuru apjoms pieaug, ņemot vērā egļu astoņzobu mizgrauža izplatības ierobežošanas pasākumus). Lūdzam anotācijā norādīt, cik daudz koksnes tiek/tiks iegūts atmežošanā, kā arī sniegt informāciju par sanitāro ciršu platībām, kuras LVM veic un visticamāk arī turpinās veikt, un kā tas tiek ņemts vērā, aprēķinot maksimāli pieļaujamos ciršanas apjomus. Norādāms, ka Meža likuma 45.panta otrā daļa nosaka, ka ja rekonstruktīvajā cirtē un galvenās cirtes vecumu sasniegušās mežaudzēs sanitārajā cirtē pēc Valsts meža dienesta sanitārā atzinuma nocirstā platība pārsniedz piecus procentus no šā panta pirmajā daļā noteiktās platības, Ministru kabinets pārskata maksimāli pieļaujamo ciršanas apjomu galvenajā cirtē.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Strode (DAP) (Iveta Timze (DAP)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