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25-TA-384: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2025. gada aprīlim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pielikums. ES fondu maksājumu un budžeta izdevumu prognožu mērķi ES fondu 2021.-2027.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6. pielikumu “ES fondu maksājumu un budžeta izdevumu prognožu mērķi ES fondu 2021.-2027. gada plānošanas periodā” atbilstoši VARAM 2025. gada 26. februāra elektroniskajā vēstulē nosūtītajiem precizējumiem, tai skaitā papildināt ar informāciju par jauno 5.1.1.9. pasākumu “Objektu (patvertņu) pielāgošana un aprīkošana civilās aizsardzības mērķiem”.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Čerpakovska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pielikums. ES fondu 2021.–2027. gada plānošanas perioda MK noteikumu par specifisko atbalsta mērķu ieviešanu izstrādes laika grafika progress.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Iebildumi par informatīvā ziņojuma 4.pielikumu “ES fondu 2021.–2027. gada plānošanas perioda MK noteikumu par specifisko atbalsta mērķu ieviešanu izstrādes laika grafika progress”: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par Finanšu ministrijas pārziņā esošo Eiropas Savienības fondu un ārvalstu finanšu palīdzības aktualitātēm līdz 2025. gada aprīlim (pusgada ziņojums) 4. pielikumu “ES fondu 2021.–2027. gada plānošanas perioda MK noteikumu par specifisko atbalsta mērķu ieviešanu izstrādes laika grafika progress” (turpmāk – informatīvā ziņojuma 4. pielikums) atbilstoši VARAM 2025. gada 26. februāra elektroniskajā vēstulē nosūtītajiem precizējumiem, tai skaitā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informatīvā ziņojuma 4. pielikumu papildināt ar jauno prioritāro 1.3.1.3., 5.1.1.8., 5.1.1.9. pasākumu ieviešanas MK noteikumu izstrādes un projektu iesniegumu atlases uzsākšanas laika grafiku, tai skaitā papildināt informāciju par šiem pasākumiem W kolonnā “MK apstiprināšanas datums/ plānotais gads un ceturksnis” ar *****atsauci, izsakot to šādā redakcijā: “Jauno prioritāro 1.3.1.3, 5.1.1.8., 5.1.1.9. pasākumu ieviešanas MK noteikumu izstrādes un projektu iesniegumu atlases uzsākšanas laiks ir iespējams pie apstākļiem, ja notiek efektīva ministriju un iestāžu sadarbība ieviešanas nosacījumu izstrādē un saskaņošanā, t.sk. ar Finanšu ministriju (izņēmumi birokrātijas mazināšanai un ietvars investīciju ātrākai uzsākšanai, ieviešanas mehānisms kiberdrošības stiprināšanas projektiem, uz kuriem ir attiecināms valsts noslēpuma statuss) un nozaru ministrijām, t.sk. ar Iekšlietu ministriju (kas nodrošina prioritāro patvertņu vietu identificēšanu, prasību patvertnēm noteikšanu un patvertņu ierīkošanas izmaksu aprēķinu),  Satiksmes ministriju un Aizsardzības ministriju (saistībā ar nosacījumiem divējāda lietojuma infrastruktūras attīstībai).”;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informatīvā ziņojuma 4. pielikumā 2.2.1.1. pasākumā “Notekūdeņu un to dūņu apsaimniekošanas sistēmas attīstība piesārņojuma samazināšanai” veikt izmaiņas, jo izdalītas trīs kārtas, informāciju par pirmās un otrās kārtas finansējumu apvienojot, savukārt informāciju par otrās kārtas laika grafiku norādot atsevišķi. Par elastības finansējumu tiks organizēta trešā kārta ūdenssaimniecībām ar cilvēkekvivalentu (CE) 2 000 – 9 999, savukārt pēc pirmās kārtas vērtēšanas noslēguma pieejamais atlikušais finansējuma apjoms tiks novirzīts otrās kārtas rīkošanai ūdenssaimniecībām ar CE lielāku nekā 100 000 (Rīgas ūdenssaimniecības aglomerācija). 2025. gada II ceturksnī tiks precizēts finansējums otrajai kārtai. Vienlaicīgi lūdzam papildināt informāciju par šo pasākumu W kolonnā “MK apstiprināšanas datums/ plānotais gads un ceturksnis” ar ******atsauci, izsakot to šādā redakcijā: “2.2.1.1. pasākuma 2. kārtas ieviešanas MK noteikumu izstrādes un projektu iesniegumu atlases uzsākšanas laiks ir iespējams pie apstākļiem, ja notiek efektīva ministriju un iestāžu sadarbība ieviešanas nosacījumu izstrādē un saskaņošanā, t.sk. ar Finanšu ministriju (izņēmumi birokrātijas mazināšanai un ietvars investīciju ātrākai uzsākšanai) un Klimata un enerģētikas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informatīvā ziņojuma 4. pielikumā 2.2.2.1. pasākuma “Atkritumu šķirošana, pārstrāde un reģenerācija” otrajai kārtai precizēt atlases izsludināšanas laiku;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informatīvā ziņojuma 4. pielikumā 2.2.3.3. pasākumā “Pasākumi bioloģiskās daudzveidības veicināšanai un saglabāšanai” trešajā un ceturtajā kārtā precizēt Ministru kabineta noteikumu apstiprināšanas datumu;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informatīvā ziņojuma 4. pielikumā 2.2.3.6. pasākumā “Gaisa piesārņojumu mazinošu pasākumu īstenošana, uzlabojot mājsaimniecību siltumapgādes sistēmas” izdalīt piekto kārtu (uzsaukums), apvienojot finansējumu ar ceturto kārtu, jo pagaidām notiek nosacījumu izstrāde piektajam uzsaukumam un šobrīd nav zināms precīzs tam pieejamais finansējums;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informatīvā ziņojuma 4. pielikumā 6.1.1.1. pasākumā “Atteikšanās no kūdras izmantošanas enerģētikā” veikt izmaiņas attiecībā uz atlases kārtu organizēšanu, ņemot vērā, ka uzsākta otrās atlases kārtas normatīvā regulējuma izstrāde, un šai atlases kārtai paredzamais kopējā finansējuma apjoms ir 3 milj. EUR. Savukārt 6.1.1.1. pasākuma trešajai, ceturtajai un piektajai kārtai norādīts atlikušais pieejamais finansējums pēc pirmās un otrās atlases kārtas organizēšanas (ieskaitot elastības finansējumu), kā arī paredzamais laika grafiks normatīvā regulējuma izstrādei, kas prezentēts Eiropas Savienības fondu tematiskajai komitejai 2025. gada 22. janvārī. Vienlaicīgi lūdzam papildināt informāciju par šo pasākumu W kolonnā “MK apstiprināšanas datums/ plānotais gads un ceturksnis” ar *******atsauci, izsakot to šādā redakcijā: “6.1.1.1. pasākuma 3. kārtas ieviešanas MK noteikumu izstrādes un projektu iesniegumu atlases uzsākšanas laiks iespējams pie apstākļiem, ja notiek efektīva ministriju un iestāžu sadarbība ieviešanas nosacījumu izstrādē un saskaņošanā, t.sk. ar Finanšu ministriju (izņēmumi birokrātijas mazināšanai un ietvars investīciju ātrākai uzsākšanai) un Klimata un enerģētikas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informatīvā ziņojuma 4. pielikumā precizēt informāciju, ka noslēgusies projektu iesniegumu atlase (2.1.1.6. pasākuma 1.kārta, 2.1.3.1. pasākuma 1. kārta, 2.2.2.1. pasākuma 1. kārta, 2.2.2.2. pasākuma 1. un 2. kārta, 2.2.3.3. pasākuma 2. kārta);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skaidrot, kāpēc informatīvā ziņojuma 4. pielikumā viss 5.1.1.1. pasākuma “Infrastruktūra uzņēmējdarbības atbalstam” (turpmāk – 5.1.1.1. pasākums) trešajai kārtai (205. rinda) pieejamais ES fondu finansējums nav norādīts tikai kolonnā “ES FONDU Elastības finansējums” (N kolonna), ņemot vērā, ka atbilstoši Ministru kabineta 2024. gada 16. janvāra noteikumu Nr. 55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5.1.1.1. pasākuma “Infrastruktūra uzņēmējdarbības atbalstam” īstenošanas noteikumi" 12. punktam un 14.3. apakšpunktam, 5.1.1.1. pasākuma trešajai kārtai ir paredzēts tikai ES fondu elastības finansējums;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informatīvā ziņojuma 4. pielikumā precizēt pieejamā finansējuma apmēru 6.1.1.3. pasākuma “Atbalsts uzņēmējdarbībai nepieciešamās publiskās infrastruktūras attīstībai, veicinot pāreju uz klimatneitrālu ekonomiku” (turpmāk – 6.1.1.3. pasākums) otrajai kārtai (215. rinda) un 6.1.1.6. pasākumam „Bezemisiju transportlīdzekļu izmantošanas veicināšana pašvaldībās” (turpmāk – 6.1.1.6. pasākums) atbilstoši VARAM 2025. gada 7. februāra elektroniskā pasta vēstulē Nr. 4-5/462  “Par Programmas grozījumu Nr.3 papildināšanu” nosūtītajai informācijai, kas paredz VARAM pārziņā esošā 6.1.1.6. pasākuma 1.kārtas Taisnīga pārkārtošanās fonda finansējuma atlikumu 13 308 164 euro un elastības finansējumu 1 391 054 euro (kopā 14 699 218 euro apmērā) pārvirzīt uz VARAM pārziņā esošo 6.1.1.3. pasākumu.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Čerpakovska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apstiprināt deklarējamo izdevumu minimālā sliekšņa jeb N+3 mērķus nacionālā līmenī katrai atbildīgajai iestādei, nosakot ikgadēji Eiropas Komisijai pieprasāmo ES fondu daļas minimālo apjomu proporcionāli katras iestādes pārziņā esošo ES fondu piešķīrumam atbilstoši informatīvā ziņojuma 5. pielikumam;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protokollēmuma projekta 2.2. apakšpunktu atbilstoši VARAM piedāvātajai redakcijai, nosakot, ka deklarējamo izdevumu minimālais slieksnis (n+3) tiek apstiprināts ne tikai kā katras atbildīgās iestādes mērķis, bet n+3 mērķu izpilde galvenokārt ir Centrālās finanšu un līgumu aģentūras (CFLA) atbildība. Papildinājumi protokollēmuma projekta 2.2. apakšpunktā nepieciešami, ievērojot CFLA noteiktos pienākumus attiecībā uz maksājumu pieprasījumu izskatīšanu, apstiprināšanu un maksājumu veikšanu finansējuma saņēmējiem – attiecīgi, savlaicīga šo pienākumu izpilde ir nesaraujami un tiešā mērā saistīta ar ikgadēji apstiprināmo maksājumu plāna izpildi, no kā savukārt ir atkarīga arī n+3 mērķu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“2.2.apstiprināt deklarējamo izdevumu minimālā sliekšņa jeb N+3 mērķus nacionālā līmenī </w:t>
            </w:r>
            <w:r w:rsidR="00000000" w:rsidRPr="00000000" w:rsidDel="00000000">
              <w:rPr>
                <w:b w:val="1"/>
                <w:rtl w:val="0"/>
              </w:rPr>
              <w:t xml:space="preserve">Centrālajai finanšu un līgumu aģentūrai un</w:t>
            </w:r>
            <w:r w:rsidR="00000000" w:rsidRPr="00000000" w:rsidDel="00000000">
              <w:rPr>
                <w:rtl w:val="0"/>
              </w:rPr>
              <w:t xml:space="preserve"> katrai atbildīgajai iestādei, nosakot ikgadēji Eiropas Komisijai pieprasāmo ES fondu daļas minimālo apjomu proporcionāli katras iestādes pārziņā esošo ES fondu piešķīrumam atbilstoši informatīvā ziņojuma 5. pielikumam;”.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Čerpakovska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Centrālajai finanšu un līgumu aģentūrai sadarbībā ar atbildīgajām iestādēm atbilstoši kompetencei nodrošināt maksājumus ES fondu projektu finansējuma saņēmējiem par ES fondu līdzfinansējumu atbilstoši informatīvā ziņojuma 6. pielikumam.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protokollēmuma projekta 2.3. apakšpunktu atbilstoši VARAM piedāvātajai redakcijai, nosakot, ka CFLA sadarbībā ar atbildīgajām iestādēm jānodrošina ikgadējo maksājumu apjoms atbilstoši 6.pielikumam, tādējādi maksājumu prognožu mērķu (t.sk. arī 2025. gada) izpildi vērtējot gada griezumā, t.i., ievērojot līdzšinējo pieeju, nevis detalizētāk, piemēram, mēnešu vai ceturkšņu griezumā.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“2.3.Centrālajai finanšu un līgumu aģentūrai sadarbībā ar atbildīgajām iestādēm atbilstoši kompetencei nodrošināt </w:t>
            </w:r>
            <w:r w:rsidR="00000000" w:rsidRPr="00000000" w:rsidDel="00000000">
              <w:rPr>
                <w:b w:val="1"/>
                <w:rtl w:val="0"/>
              </w:rPr>
              <w:t xml:space="preserve">ikgadējo </w:t>
            </w:r>
            <w:r w:rsidR="00000000" w:rsidRPr="00000000" w:rsidDel="00000000">
              <w:rPr>
                <w:rtl w:val="0"/>
              </w:rPr>
              <w:t xml:space="preserve">maksājumu </w:t>
            </w:r>
            <w:r w:rsidR="00000000" w:rsidRPr="00000000" w:rsidDel="00000000">
              <w:rPr>
                <w:b w:val="1"/>
                <w:rtl w:val="0"/>
              </w:rPr>
              <w:t xml:space="preserve">apjomu atbilstoši gada kopējai prognozei </w:t>
            </w:r>
            <w:r w:rsidR="00000000" w:rsidRPr="00000000" w:rsidDel="00000000">
              <w:rPr>
                <w:rtl w:val="0"/>
              </w:rPr>
              <w:t xml:space="preserve">ES fondu projektu finansējuma saņēmējiem par ES fondu līdzfinansējumu, </w:t>
            </w:r>
            <w:r w:rsidR="00000000" w:rsidRPr="00000000" w:rsidDel="00000000">
              <w:rPr>
                <w:b w:val="1"/>
                <w:rtl w:val="0"/>
              </w:rPr>
              <w:t xml:space="preserve">ņemot vērā</w:t>
            </w:r>
            <w:r w:rsidR="00000000" w:rsidRPr="00000000" w:rsidDel="00000000">
              <w:rPr>
                <w:rtl w:val="0"/>
              </w:rPr>
              <w:t xml:space="preserve"> informatīvā ziņojuma 6. pielikumu.”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Čerpakovska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Ņemot vērā informatīvā ziņojuma 3. sadaļā minēto par Atveseļošanas un noturības mehānisma plāna ieviešanas progresu un riskiem, nozaru ministrijām un Valsts kancelejai pastiprināti veikt visas nepieciešamās darbības, lai nodrošinātu reformu un investīciju īstenošanu atbilstoši Atveseļošanas un noturības mehānisma plānā un saistošajos dokumentos noteiktajiem uzdevumiem un to īstenošanas termiņiem, kā arī nodrošināt šim mērķim paredzētā 2025. gada valsts budžeta izdevumu plāna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protokollēmuma projekta 4. punktu, norādot arī CFLA atbildību, ņemot vērā, ka CFLA vairākās investīcijās veic pilna cikla uzraudzību, proti, atbild par ANM plāna rādītāju atbilstošu sasniegšanu un finanšu progresa (t.sk.maksājumu veikšanu finansējuma saņēmējiem)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Ņemot vērā informatīvā ziņojuma 3. sadaļā minēto par Atveseļošanas un noturības mehānisma plāna ieviešanas progresu un riskiem, nozaru ministrijām un Valsts kancelejai, kā arī Centrālajai finanšu un līgumu aģentūrai, kur attiecināms,  pastiprināti veikt visas nepieciešamās darbības, lai nodrošinātu reformu un investīciju īstenošanu atbilstoši Atveseļošanas un noturības mehānisma plānā un saistošajos dokumentos noteiktajiem uzdevumiem un to īstenošanas termiņiem, kā arī nodrošināt šim mērķim paredzētā 2025. gada valsts budžeta izdevumu plāna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Čerpakovska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2025. gada aprīlim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Informatīvā ziņojuma par Finanšu ministrijas pārziņā esošo Eiropas Savienības fondu un ārvalstu finanšu palīdzības aktualitātēm līdz 2025. gada aprīlim 6. lpp. pirmajā rindkopā novērst neprecizitāti trešajā zemsvītras atsaucē attiecībā uz likumā “Par valsts budžetu 2025. gadam un budžeta ietvaru 2025., 2026. un 2027. gadam” norādīto 2025. gada (ES fondu, AF) izdevumu apmēru. Zemsvītras atsaucē norādīti 1,48 milj. EUR, bet atbilstoši likumam “Par valsts budžetu 2025. gadam un budžeta ietvaru 2025., 2026. un 2027. gadam” ir 1,48 mljrd.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Informatīvā ziņojuma par Finanšu ministrijas pārziņā esošo Eiropas Savienības fondu un ārvalstu finanšu palīdzības aktualitātēm līdz 2025. gada aprīlim 18. lpp. rindkopu par industriālo parku 2024. gada budžeta izdevumu novirzi 8 milj. euro apmērā papildināt ar zemsvītras atsauci, to izsakot šādā redakcijā: “Savukārt 2025. gada 20. janvārī maksājumu apjoms industriālo parku projektos sasniedza jau 19,33 milj.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Čerpakovska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2025. gada aprīlim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3.tabulā rindā “2.1.2.1.i  Centralizētas platformas, sistēmas un kopīgie pakalpojumi” pēdējo kolonu norādot, ka vienošanās par neuzņemto saistību 5,6 milj. apmērā izpildi tiks noslēgtas 2025. gada 1. ceturksnī.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informatīvi skaidrojam, ka vienošanās par projektu īstenošanu, jeb neuzņemtās saistības veido divi no kopumā sešiem 2. kārtas projektiem 2.1.2.1.i. investīcijas “Centralizētas platformas, sistēmas un kopīgie pakalpojumi” nolūkā “Pašvaldību pakalpojumu digitālā transformācija un pašvaldību atbalsta procesu modernizācija un centralizācija, tai skaitā sadarbībā ar valsts pārvaldes institūcijām” un to aktivitāšu īstenošana jau tiek uzsākta.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Lelda Kalniņa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25-TA-384</w:t>
    </w:r>
    <w:r>
      <w:br/>
    </w:r>
    <w:r w:rsidR="00000000" w:rsidRPr="00000000" w:rsidDel="00000000">
      <w:rPr>
        <w:rtl w:val="0"/>
      </w:rPr>
      <w:t xml:space="preserve">Izdrukāts 26.02.2025. 15.11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25-TA-384</w:t>
    </w:r>
    <w:r>
      <w:br/>
    </w:r>
    <w:r w:rsidR="00000000" w:rsidRPr="00000000" w:rsidDel="00000000">
      <w:rPr>
        <w:rtl w:val="0"/>
      </w:rPr>
      <w:t xml:space="preserve">Izdrukāts 26.02.2025. 15.11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Atzinumi_25-TA-384.docx</dc:title>
</cp:coreProperties>
</file>

<file path=docProps/custom.xml><?xml version="1.0" encoding="utf-8"?>
<Properties xmlns="http://schemas.openxmlformats.org/officeDocument/2006/custom-properties" xmlns:vt="http://schemas.openxmlformats.org/officeDocument/2006/docPropsVTypes"/>
</file>