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februāra noteikumos Nr. 109 "Kārtība, kādā atsavināma publiskas personas manta"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iemeslu, kāpēc daļa no Valsts policijas tehniskajiem līdzekļiem Valsts policijai ir kļuvuši nevajadzīgi un nododami pašvaldībām. Piemēram, Valsts policija ir iepirkusi jaunus tehniskos līdzekļus un iepriekšējie ir kļuvuši nevajadzīgi vai arī ir citi iemesli.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Ja uz šo noteikumu 26.</w:t>
            </w:r>
            <w:r w:rsidR="00000000" w:rsidRPr="00000000" w:rsidDel="00000000">
              <w:rPr>
                <w:vertAlign w:val="superscript"/>
                <w:rtl w:val="0"/>
              </w:rPr>
              <w:t xml:space="preserve">1</w:t>
            </w:r>
            <w:r w:rsidR="00000000" w:rsidRPr="00000000" w:rsidDel="00000000">
              <w:rPr>
                <w:rtl w:val="0"/>
              </w:rPr>
              <w:t xml:space="preserve"> punktā minēto nevajadzīgo valsts kustamo mantu piesakās vismaz viena pašvaldība vai tās iestāde, to nodod attiecīgajai pašvaldībai vai tās iestādei. Ja uz nevajadzīgo valsts kustamo mantu piesakās vairākas pašvaldības vai to iestādes, valsts iestāde, kura atsavina kustamo mantu, jautājumu par mantas nodošanu atrisina, izvērtējot attiecīgās pašvaldības vai tās iestādes rīcībā esošo nodrošinājumu, kas nepieciešams sabiedriskās kārtības un drošības nodrošināšanai. Gadījumā, ja pašvaldību vai to iestāžu nodrošinājums ir līdzvērtīgs, jautājumu par mantas nodošanu atrisina pēc izlozes principa.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72. panta pirmo daļu pašvaldības ekonomiskais pamats ir pašvaldības manta, tostarp kustamais un nekustamais īpašums, un finanšu līdzekļi. Vienlaikus saskaņā ar Pašvaldību likuma 73. panta ceturto daļu pašvaldībai ir tiesības iegūt un atsavināt kustamo un nekustamo īpašumu, kā arī veikt citas privāttiesiskas darbības, ievērojot likumā noteikto par rīcību ar publiskas personas finanšu līdzekļiem un mantu. Ievērojot minēto, pašvaldības iestāžu manta nav šo iestāžu manta, bet gan pašvaldības manta. Turklāt saskaņā ar Valsts pārvaldes iekārtas likuma 4. panta otro daļu  atvasināta publiska persona valsts pārvaldes jomā darbojas ar pastarpinātās pārvaldes iestāžu starpniecību. Tādējādi pastarpinātās pārvaldes iestāde vien pārstāv atvasinātu publisku personu.  Ņemot vērā minēto, lūdzam svītrot norādes uz pašvaldības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Ja uz šo noteikumu 26.</w:t>
            </w:r>
            <w:r w:rsidR="00000000" w:rsidRPr="00000000" w:rsidDel="00000000">
              <w:rPr>
                <w:vertAlign w:val="superscript"/>
                <w:rtl w:val="0"/>
              </w:rPr>
              <w:t xml:space="preserve">1</w:t>
            </w:r>
            <w:r w:rsidR="00000000" w:rsidRPr="00000000" w:rsidDel="00000000">
              <w:rPr>
                <w:rtl w:val="0"/>
              </w:rPr>
              <w:t xml:space="preserve"> punktā minēto nevajadzīgo valsts kustamo mantu piesakās vismaz viena pašvaldība vai tās iestāde, to nodod attiecīgajai pašvaldībai vai tās iestādei. Ja uz nevajadzīgo valsts kustamo mantu piesakās vairākas pašvaldības vai to iestādes, valsts iestāde, kura atsavina kustamo mantu, jautājumu par mantas nodošanu atrisina, izvērtējot attiecīgās pašvaldības vai tās iestādes rīcībā esošo nodrošinājumu, kas nepieciešams sabiedriskās kārtības un drošības nodrošināšanai. Gadījumā, ja pašvaldību vai to iestāžu nodrošinājums ir līdzvērtīgs, jautājumu par mantas nodošanu atrisina pēc izlozes principa.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punkts paredz pienākumu valsts iestādei, kura atsavina kustamo mantu, jautājumu par mantas nodošanu atrisināt, izvērtējot attiecīgās pašvaldības vai tās iestādes rīcībā esošo nodrošinājumu, kas nepieciešams sabiedriskās kārtības un drošības nodrošināšanai. Tomēr anotācijā nav norādīts, kā valsts iestāde tādu informāciju iegūs - pieprasīs pašvaldībai, vai veiks pieprasījumu no citām datu bāzēm. Šī darbība prasīs lieku administratīvo slogu, ņemot vērā, ka pastāv iespēja, ka nevajadzīgai kustamai mantai pieteiksies vairākas pašvaldības.  Lietderīgāk būtu noteikt, ka pašvaldība, kura piesakās attiecīgās kustamās mantas nodošanai bez atlīdzības, norādīt šāda veida informāciju, lai iestādei nebūtu jātērē laiks šīs informācijas vākšanai un varētu to pēc iespējas ātrāk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precizējumus noteikumu projekta 2. punktā vai papildināt noteikumu projektu ar punktu, kas paredz, ka pašvaldība vai tās iestāde, kas piesakās uz nevajadzīgo valsts kustamo mantu, kas paredzēta sabiedriskās kārtības un drošības nodrošināšanai, un ir nepieciešama Pašvaldību likuma 4. panta pirmās daļas 14. punktā noteiktās pašvaldības autonomās funkcijas izpildei, vienlaicīgi iesniedz informāciju par pašvaldības vai rīcībā vai pašvaldības iestādes rīcībā esošo nodrošinājumu, kas nepieciešams sabiedriskās kārtības un drošības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3</w:t>
            </w:r>
            <w:r w:rsidR="00000000" w:rsidRPr="00000000" w:rsidDel="00000000">
              <w:rPr>
                <w:rtl w:val="0"/>
              </w:rPr>
              <w:t xml:space="preserve"> Ja neviena pašvaldība vai tās iestāde nepiesakās uz šo noteikumu 26.</w:t>
            </w:r>
            <w:r w:rsidR="00000000" w:rsidRPr="00000000" w:rsidDel="00000000">
              <w:rPr>
                <w:vertAlign w:val="superscript"/>
                <w:rtl w:val="0"/>
              </w:rPr>
              <w:t xml:space="preserve">1</w:t>
            </w:r>
            <w:r w:rsidR="00000000" w:rsidRPr="00000000" w:rsidDel="00000000">
              <w:rPr>
                <w:rtl w:val="0"/>
              </w:rPr>
              <w:t xml:space="preserve"> punktā minēto nevajadzīgo valsts kustamo mantu, nevajadzīgo valsts kustamo mantu atsavina šo noteikumu 23. 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72. panta pirmo daļu pašvaldības ekonomiskais pamats ir pašvaldības manta, tostarp kustamais un nekustamais īpašums, un finanšu līdzekļi. Vienlaikus saskaņā ar Pašvaldību likuma 73. panta ceturto daļu pašvaldībai ir tiesības iegūt un atsavināt kustamo un nekustamo īpašumu, kā arī veikt citas privāttiesiskas darbības, ievērojot likumā noteikto par rīcību ar publiskas personas finanšu līdzekļiem un mantu. Ievērojot minēto, pašvaldības iestāžu manta nav šo iestāžu manta, bet gan pašvaldības manta. Turklāt saskaņā ar Valsts pārvaldes iekārtas likuma 4. panta otro daļu  atvasināta publiska persona valsts pārvaldes jomā darbojas ar pastarpinātās pārvaldes iestāžu starpniecību. Tādējādi pastarpinātās pārvaldes iestāde vien pārstāv atvasinātu publisku personu.  Ņemot vērā minēto, lūdzam svītrot vārdus "vai tās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15. punktu tiesību projekta anotācijas 2. sadaļa "Tiesību akta projekta ietekmējamās sabiedrības grupas, ietekme uz tautsaimniecības attīstību un administratīvo slogu" ir obligāti aizpildāma visiem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aizpildīt minēto projekta anotācijas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Projekta tiesiskā regulējuma ietekme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akts neietekmē nevienu jomu, aicinām izvērtēt un papildināt projekta anotācijas 8. sadaļu (piemēram, attiecībā uz ietekmi uz iedzīvotāju sociālo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24-TA-848</w:t>
    </w:r>
    <w:r>
      <w:br/>
    </w:r>
    <w:r w:rsidR="00000000" w:rsidRPr="00000000" w:rsidDel="00000000">
      <w:rPr>
        <w:rtl w:val="0"/>
      </w:rPr>
      <w:t xml:space="preserve">Izdrukāts 30.07.2024.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24-TA-848</w:t>
    </w:r>
    <w:r>
      <w:br/>
    </w:r>
    <w:r w:rsidR="00000000" w:rsidRPr="00000000" w:rsidDel="00000000">
      <w:rPr>
        <w:rtl w:val="0"/>
      </w:rPr>
      <w:t xml:space="preserve">Izdrukāts 30.07.2024.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Atzinumi_24-TA-848.docx</dc:title>
</cp:coreProperties>
</file>

<file path=docProps/custom.xml><?xml version="1.0" encoding="utf-8"?>
<Properties xmlns="http://schemas.openxmlformats.org/officeDocument/2006/custom-properties" xmlns:vt="http://schemas.openxmlformats.org/officeDocument/2006/docPropsVTypes"/>
</file>