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naftas produktu drošības rezerves un naftas produkti, kas pieder komersantiem, izsludinātas enerģētiskās krīzes laikā tiek pārdoti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komersantam pārdodamiem naftas produktiem degvielas komersants samaksu veic CKUS, pamatojoties uz CKUS izrakstītu attaisnojuma dokumentu atbilstoši grāmatvedības regulējošiem normatīvajiem aktiem un Atpirkšanas zīmē norādītajai naftas produktu cenai.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paredz, ka  par komersantam pārdodamiem naftas produktiem degvielas </w:t>
            </w:r>
            <w:r w:rsidR="00000000" w:rsidRPr="00000000" w:rsidDel="00000000">
              <w:rPr>
                <w:u w:val="single"/>
                <w:rtl w:val="0"/>
              </w:rPr>
              <w:t xml:space="preserve">komersants samaksu veic CKUS, </w:t>
            </w:r>
            <w:r w:rsidR="00000000" w:rsidRPr="00000000" w:rsidDel="00000000">
              <w:rPr>
                <w:rtl w:val="0"/>
              </w:rPr>
              <w:t xml:space="preserve">pamatojoties uz CKUS izrakstītu attaisnojuma dokumentu atbilstoši grāmatvedības regulējošiem normatīvajiem aktiem un Atpirkšanas zīmē norādītajai naftas produktu cenai. Lūdzam anotācijā skaidrot, kur nonāks no komersantiem saņemtā samaksa, proti vai tā tiks ieskaitīta drošības rezervju uzkrāšanas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23-TA-3100</w:t>
    </w:r>
    <w:r>
      <w:br/>
    </w:r>
    <w:r w:rsidR="00000000" w:rsidRPr="00000000" w:rsidDel="00000000">
      <w:rPr>
        <w:rtl w:val="0"/>
      </w:rPr>
      <w:t xml:space="preserve">Izdrukāts 25.01.2024.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23-TA-3100</w:t>
    </w:r>
    <w:r>
      <w:br/>
    </w:r>
    <w:r w:rsidR="00000000" w:rsidRPr="00000000" w:rsidDel="00000000">
      <w:rPr>
        <w:rtl w:val="0"/>
      </w:rPr>
      <w:t xml:space="preserve">Izdrukāts 25.01.2024.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Atzinumi_23-TA-3100.docx</dc:title>
</cp:coreProperties>
</file>

<file path=docProps/custom.xml><?xml version="1.0" encoding="utf-8"?>
<Properties xmlns="http://schemas.openxmlformats.org/officeDocument/2006/custom-properties" xmlns:vt="http://schemas.openxmlformats.org/officeDocument/2006/docPropsVTypes"/>
</file>