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23-TA-1439: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atklātu projektu konkursa veidā Eiropas lauksaimniecības fonda lauku attīstībai investīcijām materiālajos aktīvos 2023.–2027.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 Projektu iesniegumu pieņemšanu izsludina, projektu iesniegumus iesniedz, vērtē un atlasa, lēmumu pieņem un paziņo, publiskā finansējumu  pieprasa un saņem saskaņā ar normatīvajiem aktiem [</w:t>
            </w:r>
            <w:r w:rsidR="00000000" w:rsidRPr="00000000" w:rsidDel="00000000">
              <w:rPr>
                <w:rtl w:val="0"/>
              </w:rPr>
              <w:t xml:space="preserve">valsts un Eiropas Savienības atbalsta piešķiršanu lauku un zivsaimniecības attīstībai</w:t>
            </w:r>
            <w:r w:rsidR="00000000" w:rsidRPr="00000000" w:rsidDel="00000000">
              <w:rPr>
                <w:rtl w:val="0"/>
              </w:rPr>
              <w:t xml:space="preserve">], ciktāl tie nav pretrunā ar šiem noteikumiem.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pārskatīt visu projektu, tostarp projekta 5. punktu, 31.1. apakšpunktu u.c. vienības, un tehniski precizēt atsauces uz normatīvajiem aktiem, nelietojot kvadrātiekavas, kā arī veidojot precīzas un gramatiski pareizas atsauces.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Renāte Luīze Cietvīra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23-TA-1439</w:t>
    </w:r>
    <w:r>
      <w:br/>
    </w:r>
    <w:r w:rsidR="00000000" w:rsidRPr="00000000" w:rsidDel="00000000">
      <w:rPr>
        <w:rtl w:val="0"/>
      </w:rPr>
      <w:t xml:space="preserve">Izdrukāts 02.04.2024.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23-TA-1439</w:t>
    </w:r>
    <w:r>
      <w:br/>
    </w:r>
    <w:r w:rsidR="00000000" w:rsidRPr="00000000" w:rsidDel="00000000">
      <w:rPr>
        <w:rtl w:val="0"/>
      </w:rPr>
      <w:t xml:space="preserve">Izdrukāts 02.04.2024.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