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un valsts valodas prasmes pārbaudes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VI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28.</w:t>
            </w:r>
            <w:r w:rsidR="00000000" w:rsidRPr="00000000" w:rsidDel="00000000">
              <w:rPr>
                <w:vertAlign w:val="superscript"/>
                <w:rtl w:val="0"/>
              </w:rPr>
              <w:t xml:space="preserve">1</w:t>
            </w:r>
            <w:r w:rsidR="00000000" w:rsidRPr="00000000" w:rsidDel="00000000">
              <w:rPr>
                <w:rtl w:val="0"/>
              </w:rPr>
              <w:t xml:space="preserve"> punkta ievaddaļu, lai viennozīmīgi ir saprotams, kurām personām ir maksājama valsts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 noslēdz vienošanos ar Izglītības un zinātnes ministriju par kārtību, kādā Pilsonības un migrācijas lietu pārvalde sniedz ziņas no Fizisko personu reģistra par valsts valodas prasmes kārtotāja valstisko piederību un tās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2023. gada 12. janvārī organizēja starpinstitūciju saskaņošanas sanāksmi par Ministru kabineta noteikumu projektu "Grozījumi Ministru kabineta 2022. gada 8. marta noteikumos Nr. 157 "Noteikumi par valsts valodas zināšanu apjomu un valsts valodas prasmes pārbaudes kārtību"" (turpmāk - projekts), kuras gaitā, ievērojot projekta steidzamību saistībā ar valsts budžeta 2023. gadam izskatīšanu, tika izteikts lūgums sniegt saskaņojumu par precizētajām projekta redakcijām ar elektroniskā pasta starpniecību, kas tika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sēdes protokollēmuma projekta 6. punktu, ievērojot Fizisko personu reģistra likuma 21. pantā noteikto. Tāpat  Iekšlietu ministrija nav Fizisko personu reģistra pārzinis, līdz ar to tās rīcībā nav ziņas par attiecīgās personas valstisko piederību un tās veidu. Vienlaikus lūdzam projekta sākotnējās ietekmes novērtējuma ziņojumā ietvert informāciju par saņemamo ziņu apjomu un sniegšanas procedūru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12.01.2023.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22-TA-3619</w:t>
    </w:r>
    <w:r>
      <w:br/>
    </w:r>
    <w:r w:rsidR="00000000" w:rsidRPr="00000000" w:rsidDel="00000000">
      <w:rPr>
        <w:rtl w:val="0"/>
      </w:rPr>
      <w:t xml:space="preserve">Izdrukāts 12.01.2023.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Atzinumi_22-TA-3619.docx</dc:title>
</cp:coreProperties>
</file>

<file path=docProps/custom.xml><?xml version="1.0" encoding="utf-8"?>
<Properties xmlns="http://schemas.openxmlformats.org/officeDocument/2006/custom-properties" xmlns:vt="http://schemas.openxmlformats.org/officeDocument/2006/docPropsVTypes"/>
</file>