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 punktā definēts “amata” jēdziens. Šis jēdziens likumprojektā tiek lietots daudz un plaši. SAB ieskatā ne visur likumprojekta tekstā vārds “amats” tiek lietots atbilstoši definētā jēdziena nozīmei. Nav arī skaidrības attiecībā uz kādu amatu šis jēdziens tiek lietots (vai tas ir domāts amats šaurākā nozīmē (primārais amats, ko persona ieņem kādā no publiskās personas institūcijām) vai tas ir domāts kā amats plašākā nozīmē, tajā skaitā aptverot arī tos amatus, ar kuru tiek apvienots darbs publiskas personas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jēdzienu bijis plānots lietot plašākā nozīmē, tad definīcijā lietotais vārds “komercsabiedrībā” būtu aizstājam ar plašāku jēdzienu, piemēram, “komersanta statusā”, jo tas aptvertu gan amatus komercsabiedrībās, gan darbību individuālā komersanta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jēdzienu bijis plānots lietot šaurākā nozīmē, tad šā likumprojekta nosaukums nav atbilstošs tā saturam, jo publiska persona nevar dibināt biedrības, nodibinājumus, politiskās partijas vai politisko partiju apvienības, izņemot uz speciāla likuma pamata par publiska fonda izveidošanu vai pašvaldību gadījumā, dibinot biedrību kopīgu interešu pārstāvībai, bet bez tiesībām darboties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jēdziena “amats” lietojumu visā likumprojekta tekstā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labojumus tajās tiesību normās, kurās jēdziens lietots neatbilstoši šajā punktā definētajam “amata” jēdzienam;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precizēt “amata” jēdziena definīciju atbilstoši tam, vai jēdzienu likumprojektā bijis plānots lietot plašākā vai šaurākā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pievērst uzmanību tam, vai likumprojekta nosaukums ir veidots precīzi un faktiski aptver likumprojektā ietverto tiesisko noregulējumu. Nepieciešamības gadījumā mainīt likumprojekta nosaukumu, to paplašinot.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7. panta piekto daļu,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atsevišķos gadījumos šo sarakstu iesniedzot Valsts ieņēmumu dienesta specializētajai struktūrvienībai, ievērojot likumā "Par valsts noslēpumu" noteiktās valsts noslēpuma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SAB būtu viena no tām institūcijām, kura šādu nodarbināto sarakstu iesniegtu Valsts ieņēmumu dienesta specializētajai struktūrvienībai, ievērojot likumā "Par valsts noslēpumu" noteiktās valsts noslēpuma aizsardzības prasības. Ņemot vērā to, ka faktiski gandrīz visi valsts drošības iestādē nodarbinātie veic kādu no šā likumprojekta 14. panta 7. punktā noteiktajām funkcijām, attiecīgi arī gandrīz visām personām, kas nodarbinātas valsts drošības iestādēs būs jāsniedz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un ņemot vērā likumprojekta 7. panta piektajā daļā noteikto kopsakarā ar 14. panta 7. punktu, valsts drošības iestādēm radīsies administratīvais slogs saistībā ar 7. panta piektajā daļā noteikto publiskas personas institūcijas vadītāja pienākumu. Tā tas ir tādēļ, ka saskaņā ar likumprojekta 14. pantu jau tā faktiski visiem valsts drošības iestādēs nodarbinātajiem būtu pienākums sniegt mantiskā stāvokļa un interešu deklarācijas, turklāt papildus tam, SAB direktoram būtu jāveido atsevišķs saraksts ar faktiski visiem iestādē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Speciālie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pants būtu pārceļams uzreiz aiz likumprojekta 4. panta “Likuma subjekti”. Atbilstoši Normatīvo aktu projektu izstrādes rokasgrāmatai, likuma satura daļu strukturē loģiski, secīgi, vispirms aprakstot visus noteikumus, kas attiecas uz vienu darbību, pēc tam visus, kas attiecas uz nākamo darbību, vai arī pēc regulējuma objekta, grupējot noteikumus par vienu jautājumu. Ņemot vērā to, ka gan likumprojekta 4. pants, gan 9. pants nosaka noteikumus attiecībā uz vienu regulējuma objektu – likuma subjektiem, loģiskāk būtu šos pantus ierindot secībā vienu pēc otra.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likumprojekta 4. un 9. pants varētu tikt apvienots, veidojot vienu pantu, kurā noteikti gan vispārējie, gan speciālie likuma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Speciālie ierobežojumi un aizliegumi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šā panta saturu nerodas skaidrība par to, pēc kādiem kritērijiem veidotas panta daļas un diferencēti tajās uzskaitītie subjekti. Piemēram, šā panta otrajā daļā kā viens no subjektiem ir minēts Satversmes aizsardzības biroja direktors. Citu valsts drošības iestāžu vadītāji tiesību normā nav uzskaitīti kā šā panta daļas subjekti. Lūgums sniegt skaidrojumu pēc kādiem kritērijiem veidotas panta daļas un diferencēti tajās uzskaitītie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Bankas prezidents un viņa vietnieks, Latvijas Bankas padomes loceklis, Valsts kontrolieris, Valsts kontroles padomes loceklis, Centrālās vēlēšanu komisijas priekšsēdētājs un viņa vietnieks, Centrālās vēlēšanu komisijas sekretārs, Satversmes aizsardzības biroja direktors, tiesībsargs, Konkurences padomes loceklis, Nacionālās elektronisko plašsaziņas līdzekļu padomes loceklis, Sabiedrisko elektronisko plašsaziņas līdzekļu padomes loceklis, Sabiedrisko pakalpojumu regulēšanas komisijas padomes loceklis, Valsts ieņēmumu dienesta ģenerāldirektors, Korupcijas novēršanas un apkarošanas biroja priekšnieks, Finanšu izlūkošanas dienesta priekšnieks, Valsts policijas priekšnieks, Nodokļu un muitas policijas priekšnieks, Valsts drošības dienesta priekšnieks, Valsts robežsardzes priekšnieks, Valsts ugunsdzēsības un glābšanas dienesta priekšnieks, Iekšējās drošības biroja priekšnieks, pašvaldības policijas priekšnieks, tiesnesis, prokurors, zvērināts notārs un zvērināts tiesu izpildītājs, Rūpnieciskā īpašuma apelācijas padomes loceklis papildus 12. panta trešajā daļā noteiktajam var savienot amatu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šā panta daļā kā tiesību normas subjekti ir iekļauti gan Satversmes aizsardzības biroja direktors, gan Valsts drošības dienesta priekšnieks, bet ne Militārās izlūkošanas un drošības dienesta priekšnieks, lūgums precizēt, vai Militārās un drošības dienesta priekšnieka neiekļaušana šā panta daļas tekstā ir apzināta vai redakcijā ieviesusies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Satversmes aizsardzības biroja direktors mantiskā stāvokļa un interešu deklarāciju iesniedz ģenerālprokuroram.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saistībā ar šā panta daļu ir ietverta atsauce uz Satversmes aizsardzības biroja likumā ietverto kārtību un pareizi norādīts, ka saskaņā ar Satversmes aizsardzības biroja likuma 13.pantu uzraudzību pār Satversmes aizsardzības biroja darbības atbilstību likumiem veic ģenerālprokurors un viņa īpaši pilnvaroti prokurori, ievērojot kārtību un nosacījumus, kas noteikti Valsts drošības iestāžu likumā. Taču, anotācijā nav tālāk paskaidrots, ka saskaņā ar Valsts drošības iestāžu likuma 26. pantu, Ģenerālprokurors un viņa īpaši pilnvaroti prokurori veic uzraudzību pār valsts drošības iestāžu operatīvās darbības, izlūkošanas un pretizlūkošanas procesiem un valsts noslēpuma aizsardzības sistēmu. Redzams, ka saskaņā ar augstākminētajām tiesību normām, vērtējot tās sistēmiski, Ģenerālprokuratūras uzraudzība pār Satversmes aizsardzības biroju ir reducēta uz uzraudzību pār valsts drošības iestāžu operatīvās darbības, izlūkošanas un pretizlūkošanas procesiem un valsts noslēpuma aizsardzības sistēmu, bet ne visas iestādes darbības likumību kopumā. Satversmes aizsardzības biroja likuma 1. panta pirmā daļa nosaka, ka Satversmes aizsardzības birojs ir Ministru kabineta pārraudzībā esoša valsts drošības iestāde. Šā brīža spēkā esošais regulējums (likuma Par interešu konflikta novēršanu valsts amatpersonu darbībā 23. panta ceturtā daļa) nosaka, ka Satversmes aizsardzības biroja direktors deklarācijas iesniedz Ministru prezidentam vai viņa pilnvarotai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ietverts izvērtējums tam, kādēļ esošais normatīvais noregulējums būtu jāmaina, nosakot citu subjektu, kuram iesniedzama Satversmes aizsardzības biroja direktora mantiskā stāvokļa un interešu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sniegt skaidrojumu par to, kādēļ pastāvošā kārtība attiecībā uz deklarāciju iesniegšanu būtu nepieciešams mainīt.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Jākobsons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17.06.2026.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17.06.2026.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